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adjustRightInd w:val="0"/>
        <w:snapToGrid w:val="0"/>
        <w:spacing w:before="0" w:beforeAutospacing="0" w:after="0" w:afterAutospacing="0" w:line="547" w:lineRule="exact"/>
        <w:jc w:val="center"/>
        <w:rPr>
          <w:rFonts w:hint="eastAsia" w:ascii="方正小标宋简体" w:hAnsi="方正小标宋简体" w:eastAsia="方正小标宋简体" w:cs="方正小标宋简体"/>
          <w:color w:val="333333"/>
          <w:sz w:val="44"/>
          <w:szCs w:val="44"/>
          <w:shd w:val="clear" w:color="auto" w:fill="FFFFFF"/>
          <w:lang w:eastAsia="zh-CN"/>
        </w:rPr>
      </w:pPr>
    </w:p>
    <w:p>
      <w:pPr>
        <w:pStyle w:val="3"/>
        <w:widowControl/>
        <w:shd w:val="clear" w:color="auto" w:fill="FFFFFF"/>
        <w:adjustRightInd w:val="0"/>
        <w:snapToGrid w:val="0"/>
        <w:spacing w:before="0" w:beforeAutospacing="0" w:after="0" w:afterAutospacing="0" w:line="547"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lang w:eastAsia="zh-CN"/>
        </w:rPr>
        <w:t>山丹县商务局</w:t>
      </w:r>
      <w:r>
        <w:rPr>
          <w:rFonts w:hint="eastAsia" w:ascii="方正小标宋简体" w:hAnsi="方正小标宋简体" w:eastAsia="方正小标宋简体" w:cs="方正小标宋简体"/>
          <w:color w:val="333333"/>
          <w:sz w:val="44"/>
          <w:szCs w:val="44"/>
          <w:shd w:val="clear" w:color="auto" w:fill="FFFFFF"/>
          <w:lang w:val="en-US" w:eastAsia="zh-CN"/>
        </w:rPr>
        <w:t>2019</w:t>
      </w:r>
      <w:r>
        <w:rPr>
          <w:rFonts w:hint="eastAsia" w:ascii="方正小标宋简体" w:hAnsi="方正小标宋简体" w:eastAsia="方正小标宋简体" w:cs="方正小标宋简体"/>
          <w:color w:val="333333"/>
          <w:sz w:val="44"/>
          <w:szCs w:val="44"/>
          <w:shd w:val="clear" w:color="auto" w:fill="FFFFFF"/>
        </w:rPr>
        <w:t>年度政府信息公开</w:t>
      </w:r>
    </w:p>
    <w:p>
      <w:pPr>
        <w:pStyle w:val="3"/>
        <w:widowControl/>
        <w:shd w:val="clear" w:color="auto" w:fill="FFFFFF"/>
        <w:adjustRightInd w:val="0"/>
        <w:snapToGrid w:val="0"/>
        <w:spacing w:before="0" w:beforeAutospacing="0" w:after="0" w:afterAutospacing="0" w:line="547" w:lineRule="exact"/>
        <w:jc w:val="center"/>
        <w:rPr>
          <w:rFonts w:ascii="方正小标宋简体" w:hAnsi="方正小标宋简体" w:eastAsia="方正小标宋简体" w:cs="Times New Roman"/>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工作报告</w:t>
      </w:r>
    </w:p>
    <w:p>
      <w:pPr>
        <w:pStyle w:val="3"/>
        <w:widowControl/>
        <w:shd w:val="clear" w:color="auto" w:fill="FFFFFF"/>
        <w:adjustRightInd w:val="0"/>
        <w:snapToGrid w:val="0"/>
        <w:spacing w:before="0" w:beforeAutospacing="0" w:after="0" w:afterAutospacing="0" w:line="547" w:lineRule="exact"/>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一、总体情况</w:t>
      </w:r>
    </w:p>
    <w:p>
      <w:pPr>
        <w:spacing w:line="560"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color w:val="333333"/>
          <w:sz w:val="32"/>
          <w:szCs w:val="32"/>
        </w:rPr>
        <w:t>201</w:t>
      </w:r>
      <w:r>
        <w:rPr>
          <w:rFonts w:hint="eastAsia" w:ascii="仿宋_GB2312" w:hAnsi="Times New Roman" w:eastAsia="仿宋_GB2312" w:cs="Times New Roman"/>
          <w:color w:val="333333"/>
          <w:sz w:val="32"/>
          <w:szCs w:val="32"/>
          <w:lang w:val="en-US" w:eastAsia="zh-CN"/>
        </w:rPr>
        <w:t>9</w:t>
      </w:r>
      <w:r>
        <w:rPr>
          <w:rFonts w:hint="eastAsia" w:ascii="仿宋_GB2312" w:hAnsi="Times New Roman" w:eastAsia="仿宋_GB2312" w:cs="Times New Roman"/>
          <w:color w:val="333333"/>
          <w:sz w:val="32"/>
          <w:szCs w:val="32"/>
        </w:rPr>
        <w:t>年，在县委、县政府的正确领导下，在县政府信息公开领导小组的</w:t>
      </w:r>
      <w:r>
        <w:rPr>
          <w:rFonts w:hint="eastAsia" w:ascii="仿宋_GB2312" w:hAnsi="Times New Roman" w:eastAsia="仿宋_GB2312" w:cs="Times New Roman"/>
          <w:color w:val="333333"/>
          <w:sz w:val="32"/>
          <w:szCs w:val="32"/>
          <w:lang w:eastAsia="zh-CN"/>
        </w:rPr>
        <w:t>精心</w:t>
      </w:r>
      <w:r>
        <w:rPr>
          <w:rFonts w:hint="eastAsia" w:ascii="仿宋_GB2312" w:hAnsi="Times New Roman" w:eastAsia="仿宋_GB2312" w:cs="Times New Roman"/>
          <w:color w:val="333333"/>
          <w:sz w:val="32"/>
          <w:szCs w:val="32"/>
        </w:rPr>
        <w:t>指导下，</w:t>
      </w:r>
      <w:r>
        <w:rPr>
          <w:rFonts w:hint="eastAsia" w:ascii="仿宋_GB2312" w:hAnsi="仿宋_GB2312" w:eastAsia="仿宋_GB2312" w:cs="仿宋_GB2312"/>
          <w:sz w:val="32"/>
          <w:szCs w:val="32"/>
        </w:rPr>
        <w:t>依据《甘肃省政府信息公开办公室关于做好政府信息公开平台规范建设的通知》(甘政公开办〔2020〕2号)、《甘肃省政府信息公开办公室关于做好政务公开整改工作的通知》(甘政公开办〔2020〕5号)和《张掖市人民政府办公室关于切实加强政府信息公开平台内容保障的通知》(张政办函〔2020〕92号)要求，</w:t>
      </w:r>
      <w:r>
        <w:rPr>
          <w:rFonts w:hint="eastAsia" w:ascii="仿宋_GB2312" w:hAnsi="宋体" w:eastAsia="仿宋_GB2312" w:cs="仿宋_GB2312"/>
          <w:sz w:val="32"/>
          <w:szCs w:val="32"/>
          <w:lang w:eastAsia="zh-CN"/>
        </w:rPr>
        <w:t>县商务局</w:t>
      </w:r>
      <w:r>
        <w:rPr>
          <w:rFonts w:hint="eastAsia" w:ascii="仿宋_GB2312" w:hAnsi="宋体" w:eastAsia="仿宋_GB2312" w:cs="仿宋_GB2312"/>
          <w:sz w:val="32"/>
          <w:szCs w:val="32"/>
        </w:rPr>
        <w:t>不断加强</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信息公开工作，创新公开方式，拓宽公开范围，全力推进</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信息公开工作扎实有序开展。</w:t>
      </w:r>
    </w:p>
    <w:p>
      <w:pPr>
        <w:numPr>
          <w:ilvl w:val="0"/>
          <w:numId w:val="0"/>
        </w:numPr>
        <w:spacing w:line="560" w:lineRule="exact"/>
        <w:ind w:firstLine="563" w:firstLineChars="200"/>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pacing w:val="-20"/>
          <w:sz w:val="32"/>
          <w:szCs w:val="32"/>
          <w:lang w:eastAsia="zh-CN"/>
        </w:rPr>
        <w:t>（一）主要做法和推进措施</w:t>
      </w:r>
    </w:p>
    <w:p>
      <w:pPr>
        <w:numPr>
          <w:ilvl w:val="0"/>
          <w:numId w:val="0"/>
        </w:numPr>
        <w:spacing w:line="560" w:lineRule="exact"/>
        <w:ind w:left="640"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主要</w:t>
      </w:r>
      <w:r>
        <w:rPr>
          <w:rFonts w:hint="eastAsia" w:ascii="仿宋_GB2312" w:hAnsi="仿宋_GB2312" w:eastAsia="仿宋_GB2312" w:cs="仿宋_GB2312"/>
          <w:b/>
          <w:bCs/>
          <w:sz w:val="32"/>
          <w:szCs w:val="32"/>
          <w:lang w:eastAsia="zh-CN"/>
        </w:rPr>
        <w:t>做法</w:t>
      </w:r>
      <w:r>
        <w:rPr>
          <w:rFonts w:hint="eastAsia" w:ascii="仿宋_GB2312" w:hAnsi="仿宋_GB2312" w:eastAsia="仿宋_GB2312" w:cs="仿宋_GB2312"/>
          <w:b/>
          <w:bCs/>
          <w:sz w:val="32"/>
          <w:szCs w:val="32"/>
        </w:rPr>
        <w:t>和</w:t>
      </w:r>
      <w:r>
        <w:rPr>
          <w:rFonts w:hint="eastAsia" w:ascii="仿宋_GB2312" w:hAnsi="仿宋_GB2312" w:eastAsia="仿宋_GB2312" w:cs="仿宋_GB2312"/>
          <w:b/>
          <w:bCs/>
          <w:sz w:val="32"/>
          <w:szCs w:val="32"/>
          <w:lang w:eastAsia="zh-CN"/>
        </w:rPr>
        <w:t>初步</w:t>
      </w:r>
      <w:r>
        <w:rPr>
          <w:rFonts w:hint="eastAsia" w:ascii="仿宋_GB2312" w:hAnsi="仿宋_GB2312" w:eastAsia="仿宋_GB2312" w:cs="仿宋_GB2312"/>
          <w:b/>
          <w:bCs/>
          <w:sz w:val="32"/>
          <w:szCs w:val="32"/>
        </w:rPr>
        <w:t>成效</w:t>
      </w:r>
    </w:p>
    <w:p>
      <w:pPr>
        <w:numPr>
          <w:ilvl w:val="0"/>
          <w:numId w:val="0"/>
        </w:num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按照商务局工作总体部署，对公开信息的范围、内容进行认真审核，将政策文件的解读、审核、发布纳入日常工作议程，着重将出台文件的背景依据、目的意义、概念解释以及文件内容的重点、关键词的诠释严格把关，对涉及群众切身利益的政策文件进行重点解读。同时，所有对外转载、发布的重要政策文件经过分管领导严格审查、审核，并通过山丹政务信息公开网站发布，有效提升了公众对商务政策文件的知晓率。我局</w:t>
      </w:r>
      <w:r>
        <w:rPr>
          <w:rFonts w:hint="eastAsia" w:ascii="仿宋_GB2312" w:hAnsi="宋体" w:eastAsia="仿宋_GB2312" w:cs="仿宋_GB2312"/>
          <w:sz w:val="32"/>
          <w:szCs w:val="32"/>
        </w:rPr>
        <w:t>把推进</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信息公开与转变政府职能、规范权力运行、促进依法行政紧密结合起来，进一步加大公开力度、规范公开形式</w:t>
      </w:r>
      <w:r>
        <w:rPr>
          <w:rFonts w:hint="eastAsia" w:ascii="仿宋_GB2312" w:hAnsi="宋体" w:eastAsia="仿宋_GB2312" w:cs="仿宋_GB2312"/>
          <w:sz w:val="32"/>
          <w:szCs w:val="32"/>
          <w:lang w:eastAsia="zh-CN"/>
        </w:rPr>
        <w:t>和内容，</w:t>
      </w:r>
      <w:r>
        <w:rPr>
          <w:rFonts w:hint="eastAsia" w:ascii="仿宋_GB2312" w:hAnsi="宋体" w:eastAsia="仿宋_GB2312" w:cs="仿宋_GB2312"/>
          <w:sz w:val="32"/>
          <w:szCs w:val="32"/>
        </w:rPr>
        <w:t>信息公开工作逐渐步入常态化、长效化、规范化管理轨道，取得了新成效。</w:t>
      </w:r>
    </w:p>
    <w:p>
      <w:pPr>
        <w:numPr>
          <w:ilvl w:val="0"/>
          <w:numId w:val="0"/>
        </w:numPr>
        <w:spacing w:line="560" w:lineRule="exact"/>
        <w:ind w:left="640"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2.政务公开工作部署和落实情况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仿宋_GB2312" w:hAnsi="宋体" w:eastAsia="仿宋_GB2312" w:cs="Times New Roman"/>
          <w:sz w:val="32"/>
          <w:szCs w:val="32"/>
        </w:rPr>
      </w:pPr>
      <w:r>
        <w:rPr>
          <w:rFonts w:hint="eastAsia" w:ascii="仿宋_GB2312" w:hAnsi="宋体" w:eastAsia="仿宋_GB2312" w:cs="仿宋_GB2312"/>
          <w:sz w:val="32"/>
          <w:szCs w:val="32"/>
          <w:lang w:eastAsia="zh-CN"/>
        </w:rPr>
        <w:t>山丹县商务局建立政务信息主动发布机制，</w:t>
      </w:r>
      <w:r>
        <w:rPr>
          <w:rFonts w:hint="eastAsia" w:ascii="仿宋_GB2312" w:hAnsi="宋体" w:eastAsia="仿宋_GB2312" w:cs="仿宋_GB2312"/>
          <w:sz w:val="32"/>
          <w:szCs w:val="32"/>
        </w:rPr>
        <w:t>将政务公开工作纳入</w:t>
      </w:r>
      <w:r>
        <w:rPr>
          <w:rFonts w:hint="eastAsia" w:ascii="仿宋_GB2312" w:hAnsi="宋体" w:eastAsia="仿宋_GB2312" w:cs="仿宋_GB2312"/>
          <w:sz w:val="32"/>
          <w:szCs w:val="32"/>
          <w:lang w:eastAsia="zh-CN"/>
        </w:rPr>
        <w:t>本</w:t>
      </w:r>
      <w:r>
        <w:rPr>
          <w:rFonts w:hint="eastAsia" w:ascii="仿宋_GB2312" w:hAnsi="宋体" w:eastAsia="仿宋_GB2312" w:cs="仿宋_GB2312"/>
          <w:sz w:val="32"/>
          <w:szCs w:val="32"/>
        </w:rPr>
        <w:t>单位的整体工作进行部署落实，</w:t>
      </w:r>
      <w:r>
        <w:rPr>
          <w:rFonts w:hint="eastAsia" w:ascii="仿宋_GB2312" w:hAnsi="宋体" w:eastAsia="仿宋_GB2312" w:cs="仿宋_GB2312"/>
          <w:sz w:val="32"/>
          <w:szCs w:val="32"/>
          <w:lang w:eastAsia="zh-CN"/>
        </w:rPr>
        <w:t>成立</w:t>
      </w:r>
      <w:r>
        <w:rPr>
          <w:rFonts w:hint="eastAsia" w:ascii="仿宋_GB2312" w:hAnsi="宋体" w:eastAsia="仿宋_GB2312" w:cs="仿宋_GB2312"/>
          <w:sz w:val="32"/>
          <w:szCs w:val="32"/>
        </w:rPr>
        <w:t>以局</w:t>
      </w:r>
      <w:r>
        <w:rPr>
          <w:rFonts w:hint="eastAsia" w:ascii="仿宋_GB2312" w:hAnsi="宋体" w:eastAsia="仿宋_GB2312" w:cs="仿宋_GB2312"/>
          <w:sz w:val="32"/>
          <w:szCs w:val="32"/>
          <w:lang w:eastAsia="zh-CN"/>
        </w:rPr>
        <w:t>长任</w:t>
      </w:r>
      <w:r>
        <w:rPr>
          <w:rFonts w:hint="eastAsia" w:ascii="仿宋_GB2312" w:hAnsi="宋体" w:eastAsia="仿宋_GB2312" w:cs="仿宋_GB2312"/>
          <w:sz w:val="32"/>
          <w:szCs w:val="32"/>
        </w:rPr>
        <w:t>组长的政务公开工作领导小组，明确分管领导负责政务公开审核</w:t>
      </w:r>
      <w:r>
        <w:rPr>
          <w:rFonts w:hint="eastAsia" w:ascii="仿宋_GB2312" w:hAnsi="宋体" w:eastAsia="仿宋_GB2312" w:cs="仿宋_GB2312"/>
          <w:sz w:val="32"/>
          <w:szCs w:val="32"/>
          <w:lang w:eastAsia="zh-CN"/>
        </w:rPr>
        <w:t>、发布</w:t>
      </w:r>
      <w:r>
        <w:rPr>
          <w:rFonts w:hint="eastAsia" w:ascii="仿宋_GB2312" w:hAnsi="宋体" w:eastAsia="仿宋_GB2312" w:cs="仿宋_GB2312"/>
          <w:sz w:val="32"/>
          <w:szCs w:val="32"/>
        </w:rPr>
        <w:t>工作，</w:t>
      </w:r>
      <w:r>
        <w:rPr>
          <w:rFonts w:hint="eastAsia" w:ascii="仿宋_GB2312" w:hAnsi="宋体" w:eastAsia="仿宋_GB2312" w:cs="仿宋_GB2312"/>
          <w:sz w:val="32"/>
          <w:szCs w:val="32"/>
          <w:lang w:eastAsia="zh-CN"/>
        </w:rPr>
        <w:t>并指定专人负责政务信息发布，明确其具体工作职责，逐步健全了商务领域政务信息公开工作，确保了政务信息工作全面、准确、有序地开展。</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宋体" w:eastAsia="仿宋_GB2312" w:cs="仿宋_GB2312"/>
          <w:sz w:val="32"/>
          <w:szCs w:val="32"/>
        </w:rPr>
        <w:t>　　</w:t>
      </w:r>
      <w:r>
        <w:rPr>
          <w:rFonts w:hint="eastAsia" w:ascii="仿宋_GB2312" w:hAnsi="仿宋_GB2312" w:eastAsia="仿宋_GB2312" w:cs="仿宋_GB2312"/>
          <w:b/>
          <w:bCs/>
          <w:sz w:val="32"/>
          <w:szCs w:val="32"/>
          <w:lang w:val="en-US" w:eastAsia="zh-CN"/>
        </w:rPr>
        <w:t>3.政务信息公开保密审查情况</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落实责任，强化监督，全面加强对政务公开</w:t>
      </w:r>
      <w:r>
        <w:rPr>
          <w:rFonts w:hint="eastAsia" w:ascii="仿宋_GB2312" w:hAnsi="宋体" w:eastAsia="仿宋_GB2312" w:cs="仿宋_GB2312"/>
          <w:sz w:val="32"/>
          <w:szCs w:val="32"/>
          <w:lang w:val="en-US" w:eastAsia="zh-CN"/>
        </w:rPr>
        <w:t>工作</w:t>
      </w:r>
      <w:r>
        <w:rPr>
          <w:rFonts w:hint="eastAsia" w:ascii="仿宋_GB2312" w:hAnsi="宋体" w:eastAsia="仿宋_GB2312" w:cs="仿宋_GB2312"/>
          <w:sz w:val="32"/>
          <w:szCs w:val="32"/>
          <w:lang w:eastAsia="zh-CN"/>
        </w:rPr>
        <w:t>督导</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为促使政务</w:t>
      </w:r>
      <w:r>
        <w:rPr>
          <w:rFonts w:hint="eastAsia" w:ascii="仿宋_GB2312" w:hAnsi="宋体" w:eastAsia="仿宋_GB2312" w:cs="仿宋_GB2312"/>
          <w:sz w:val="32"/>
          <w:szCs w:val="32"/>
        </w:rPr>
        <w:t>信息</w:t>
      </w:r>
      <w:r>
        <w:rPr>
          <w:rFonts w:hint="eastAsia" w:ascii="仿宋_GB2312" w:hAnsi="宋体" w:eastAsia="仿宋_GB2312" w:cs="仿宋_GB2312"/>
          <w:sz w:val="32"/>
          <w:szCs w:val="32"/>
          <w:lang w:eastAsia="zh-CN"/>
        </w:rPr>
        <w:t>公开、透明，又不失保密工作色彩，我局按照“谁提供、谁审核、谁负责”的原则，保证了拟公开的政务信息不涉及个人隐私、商业秘密、国家秘密和法律、法规禁止主动公开的相关政务信息，以及不危及国家安全、公共安全、经济安全、发展稳定等。同时，由</w:t>
      </w:r>
      <w:r>
        <w:rPr>
          <w:rFonts w:hint="eastAsia" w:ascii="仿宋_GB2312" w:hAnsi="宋体" w:eastAsia="仿宋_GB2312" w:cs="仿宋_GB2312"/>
          <w:sz w:val="32"/>
          <w:szCs w:val="32"/>
        </w:rPr>
        <w:t>局办公室牵头并明确专人负责政府信息公开的日常工作，负责信息公开</w:t>
      </w:r>
      <w:r>
        <w:rPr>
          <w:rFonts w:hint="eastAsia" w:ascii="仿宋_GB2312" w:hAnsi="宋体" w:eastAsia="仿宋_GB2312" w:cs="仿宋_GB2312"/>
          <w:sz w:val="32"/>
          <w:szCs w:val="32"/>
          <w:lang w:val="en-US" w:eastAsia="zh-CN"/>
        </w:rPr>
        <w:t>网站权限的管理</w:t>
      </w:r>
      <w:r>
        <w:rPr>
          <w:rFonts w:hint="eastAsia" w:ascii="仿宋_GB2312" w:hAnsi="宋体" w:eastAsia="仿宋_GB2312" w:cs="仿宋_GB2312"/>
          <w:sz w:val="32"/>
          <w:szCs w:val="32"/>
          <w:lang w:eastAsia="zh-CN"/>
        </w:rPr>
        <w:t>，并协助</w:t>
      </w:r>
      <w:r>
        <w:rPr>
          <w:rFonts w:hint="eastAsia" w:ascii="仿宋_GB2312" w:hAnsi="宋体" w:eastAsia="仿宋_GB2312" w:cs="仿宋_GB2312"/>
          <w:sz w:val="32"/>
          <w:szCs w:val="32"/>
        </w:rPr>
        <w:t>办</w:t>
      </w:r>
      <w:r>
        <w:rPr>
          <w:rFonts w:ascii="仿宋_GB2312" w:hAnsi="宋体" w:eastAsia="仿宋_GB2312" w:cs="仿宋_GB2312"/>
          <w:sz w:val="32"/>
          <w:szCs w:val="32"/>
        </w:rPr>
        <w:t>公室</w:t>
      </w:r>
      <w:r>
        <w:rPr>
          <w:rFonts w:hint="eastAsia" w:ascii="仿宋_GB2312" w:hAnsi="宋体" w:eastAsia="仿宋_GB2312" w:cs="仿宋_GB2312"/>
          <w:sz w:val="32"/>
          <w:szCs w:val="32"/>
        </w:rPr>
        <w:t>负责</w:t>
      </w:r>
      <w:r>
        <w:rPr>
          <w:rFonts w:hint="eastAsia" w:ascii="仿宋_GB2312" w:hAnsi="宋体" w:eastAsia="仿宋_GB2312" w:cs="仿宋_GB2312"/>
          <w:sz w:val="32"/>
          <w:szCs w:val="32"/>
          <w:lang w:val="en-US" w:eastAsia="zh-CN"/>
        </w:rPr>
        <w:t>政务</w:t>
      </w:r>
      <w:r>
        <w:rPr>
          <w:rFonts w:hint="eastAsia" w:ascii="仿宋_GB2312" w:hAnsi="宋体" w:eastAsia="仿宋_GB2312" w:cs="仿宋_GB2312"/>
          <w:sz w:val="32"/>
          <w:szCs w:val="32"/>
        </w:rPr>
        <w:t>公开信息内容的更新</w:t>
      </w:r>
      <w:r>
        <w:rPr>
          <w:rFonts w:hint="eastAsia" w:ascii="仿宋_GB2312" w:hAnsi="宋体" w:eastAsia="仿宋_GB2312" w:cs="仿宋_GB2312"/>
          <w:sz w:val="32"/>
          <w:szCs w:val="32"/>
          <w:lang w:val="en-US" w:eastAsia="zh-CN"/>
        </w:rPr>
        <w:t>加载</w:t>
      </w:r>
      <w:r>
        <w:rPr>
          <w:rFonts w:hint="eastAsia" w:ascii="仿宋_GB2312" w:hAnsi="宋体" w:eastAsia="仿宋_GB2312" w:cs="仿宋_GB2312"/>
          <w:sz w:val="32"/>
          <w:szCs w:val="32"/>
        </w:rPr>
        <w:t>，切实保障政府信息公开工作的</w:t>
      </w:r>
      <w:r>
        <w:rPr>
          <w:rFonts w:hint="eastAsia" w:ascii="仿宋_GB2312" w:hAnsi="宋体" w:eastAsia="仿宋_GB2312" w:cs="仿宋_GB2312"/>
          <w:sz w:val="32"/>
          <w:szCs w:val="32"/>
          <w:lang w:eastAsia="zh-CN"/>
        </w:rPr>
        <w:t>有序</w:t>
      </w:r>
      <w:r>
        <w:rPr>
          <w:rFonts w:hint="eastAsia" w:ascii="仿宋_GB2312" w:hAnsi="宋体" w:eastAsia="仿宋_GB2312" w:cs="仿宋_GB2312"/>
          <w:sz w:val="32"/>
          <w:szCs w:val="32"/>
        </w:rPr>
        <w:t>推进。</w:t>
      </w:r>
    </w:p>
    <w:p>
      <w:pPr>
        <w:spacing w:line="560" w:lineRule="exact"/>
        <w:rPr>
          <w:rFonts w:hint="eastAsia" w:ascii="仿宋_GB2312" w:hAnsi="仿宋_GB2312" w:eastAsia="仿宋_GB2312" w:cs="仿宋_GB2312"/>
          <w:b/>
          <w:bCs/>
          <w:sz w:val="32"/>
          <w:szCs w:val="32"/>
          <w:lang w:val="en-US" w:eastAsia="zh-CN"/>
        </w:rPr>
      </w:pPr>
      <w:r>
        <w:rPr>
          <w:rFonts w:hint="eastAsia" w:ascii="仿宋_GB2312" w:hAnsi="宋体" w:eastAsia="仿宋_GB2312" w:cs="仿宋_GB2312"/>
          <w:sz w:val="32"/>
          <w:szCs w:val="32"/>
        </w:rPr>
        <w:t>　</w:t>
      </w:r>
      <w:r>
        <w:rPr>
          <w:rFonts w:hint="eastAsia" w:ascii="仿宋_GB2312" w:hAnsi="仿宋_GB2312" w:eastAsia="仿宋_GB2312" w:cs="仿宋_GB2312"/>
          <w:b/>
          <w:bCs/>
          <w:sz w:val="32"/>
          <w:szCs w:val="32"/>
          <w:lang w:val="en-US" w:eastAsia="zh-CN"/>
        </w:rPr>
        <w:t>　4.公开渠道建设和利用情况</w:t>
      </w:r>
    </w:p>
    <w:p>
      <w:pPr>
        <w:spacing w:line="560" w:lineRule="exact"/>
        <w:ind w:firstLine="64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rPr>
        <w:t>依托</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集约化智能门户平台</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中</w:t>
      </w:r>
      <w:r>
        <w:rPr>
          <w:rFonts w:hint="eastAsia" w:ascii="仿宋_GB2312" w:hAnsi="宋体" w:eastAsia="仿宋_GB2312" w:cs="仿宋_GB2312"/>
          <w:sz w:val="32"/>
          <w:szCs w:val="32"/>
        </w:rPr>
        <w:t>政务信息公开政府门户网站山丹县人民政府门户网站下设的政府信息公开</w:t>
      </w:r>
      <w:r>
        <w:rPr>
          <w:rFonts w:hint="eastAsia" w:ascii="仿宋_GB2312" w:hAnsi="宋体" w:eastAsia="仿宋_GB2312" w:cs="仿宋_GB2312"/>
          <w:sz w:val="32"/>
          <w:szCs w:val="32"/>
          <w:lang w:val="en-US" w:eastAsia="zh-CN"/>
        </w:rPr>
        <w:t>栏目</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val="en-US" w:eastAsia="zh-CN"/>
        </w:rPr>
        <w:t>按类别及发布机构、主题、政策解读等主题栏目，</w:t>
      </w:r>
      <w:r>
        <w:rPr>
          <w:rFonts w:hint="eastAsia" w:ascii="仿宋_GB2312" w:hAnsi="宋体" w:eastAsia="仿宋_GB2312" w:cs="仿宋_GB2312"/>
          <w:sz w:val="32"/>
          <w:szCs w:val="32"/>
        </w:rPr>
        <w:t>完善</w:t>
      </w:r>
      <w:r>
        <w:rPr>
          <w:rFonts w:hint="eastAsia" w:ascii="仿宋_GB2312" w:hAnsi="宋体" w:eastAsia="仿宋_GB2312" w:cs="仿宋_GB2312"/>
          <w:sz w:val="32"/>
          <w:szCs w:val="32"/>
          <w:lang w:eastAsia="zh-CN"/>
        </w:rPr>
        <w:t>商务</w:t>
      </w:r>
      <w:r>
        <w:rPr>
          <w:rFonts w:hint="eastAsia" w:ascii="仿宋_GB2312" w:hAnsi="宋体" w:eastAsia="仿宋_GB2312" w:cs="仿宋_GB2312"/>
          <w:sz w:val="32"/>
          <w:szCs w:val="32"/>
        </w:rPr>
        <w:t>局政</w:t>
      </w:r>
      <w:r>
        <w:rPr>
          <w:rFonts w:hint="eastAsia" w:ascii="仿宋_GB2312" w:hAnsi="宋体" w:eastAsia="仿宋_GB2312" w:cs="仿宋_GB2312"/>
          <w:sz w:val="32"/>
          <w:szCs w:val="32"/>
          <w:lang w:val="en-US" w:eastAsia="zh-CN"/>
        </w:rPr>
        <w:t>务</w:t>
      </w:r>
      <w:r>
        <w:rPr>
          <w:rFonts w:hint="eastAsia" w:ascii="仿宋_GB2312" w:hAnsi="宋体" w:eastAsia="仿宋_GB2312" w:cs="仿宋_GB2312"/>
          <w:sz w:val="32"/>
          <w:szCs w:val="32"/>
        </w:rPr>
        <w:t>信息公开事项，及时上传</w:t>
      </w:r>
      <w:r>
        <w:rPr>
          <w:rFonts w:hint="eastAsia" w:ascii="仿宋_GB2312" w:hAnsi="宋体" w:eastAsia="仿宋_GB2312" w:cs="仿宋_GB2312"/>
          <w:sz w:val="32"/>
          <w:szCs w:val="32"/>
          <w:lang w:val="en-US" w:eastAsia="zh-CN"/>
        </w:rPr>
        <w:t>加载更新</w:t>
      </w:r>
      <w:r>
        <w:rPr>
          <w:rFonts w:hint="eastAsia" w:ascii="仿宋_GB2312" w:hAnsi="宋体" w:eastAsia="仿宋_GB2312" w:cs="仿宋_GB2312"/>
          <w:sz w:val="32"/>
          <w:szCs w:val="32"/>
        </w:rPr>
        <w:t>各类公开信息内容</w:t>
      </w:r>
      <w:r>
        <w:rPr>
          <w:rFonts w:hint="eastAsia" w:ascii="仿宋_GB2312" w:hAnsi="宋体" w:eastAsia="仿宋_GB2312" w:cs="仿宋_GB2312"/>
          <w:sz w:val="32"/>
          <w:szCs w:val="32"/>
          <w:lang w:eastAsia="zh-CN"/>
        </w:rPr>
        <w:t>。</w:t>
      </w:r>
    </w:p>
    <w:p>
      <w:pPr>
        <w:spacing w:line="560" w:lineRule="exact"/>
        <w:ind w:firstLine="640"/>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pacing w:val="-20"/>
          <w:sz w:val="32"/>
          <w:szCs w:val="32"/>
          <w:lang w:eastAsia="zh-CN"/>
        </w:rPr>
        <w:t>（二）主动公开政府信息情况</w:t>
      </w:r>
    </w:p>
    <w:p>
      <w:pPr>
        <w:spacing w:line="560" w:lineRule="exact"/>
        <w:ind w:firstLine="649"/>
        <w:rPr>
          <w:rFonts w:hint="eastAsia" w:ascii="仿宋_GB2312" w:hAnsi="宋体" w:eastAsia="仿宋_GB2312" w:cs="Times New Roman"/>
          <w:sz w:val="32"/>
          <w:szCs w:val="32"/>
          <w:lang w:eastAsia="zh-CN"/>
        </w:rPr>
      </w:pPr>
      <w:r>
        <w:rPr>
          <w:rFonts w:hint="eastAsia" w:ascii="仿宋_GB2312" w:hAnsi="仿宋_GB2312" w:eastAsia="仿宋_GB2312" w:cs="仿宋_GB2312"/>
          <w:b/>
          <w:bCs/>
          <w:sz w:val="32"/>
          <w:szCs w:val="32"/>
          <w:lang w:val="en-US" w:eastAsia="zh-CN"/>
        </w:rPr>
        <w:t>1.公开内容。</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认真贯彻落实《条例》等文件要求，把</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信息公开作为加强党风廉政建设，转变工作作风的重要内容</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2019年以来，</w:t>
      </w:r>
      <w:r>
        <w:rPr>
          <w:rFonts w:hint="eastAsia" w:ascii="仿宋_GB2312" w:hAnsi="宋体" w:eastAsia="仿宋_GB2312" w:cs="仿宋_GB2312"/>
          <w:sz w:val="32"/>
          <w:szCs w:val="32"/>
          <w:lang w:eastAsia="zh-CN"/>
        </w:rPr>
        <w:t>我局</w:t>
      </w:r>
      <w:r>
        <w:rPr>
          <w:rFonts w:hint="eastAsia" w:ascii="仿宋_GB2312" w:hAnsi="宋体" w:eastAsia="仿宋_GB2312" w:cs="仿宋_GB2312"/>
          <w:sz w:val="32"/>
          <w:szCs w:val="32"/>
        </w:rPr>
        <w:t>通过</w:t>
      </w:r>
      <w:r>
        <w:rPr>
          <w:rFonts w:hint="eastAsia" w:ascii="仿宋_GB2312" w:hAnsi="宋体" w:eastAsia="仿宋_GB2312" w:cs="仿宋_GB2312"/>
          <w:sz w:val="32"/>
          <w:szCs w:val="32"/>
          <w:lang w:eastAsia="zh-CN"/>
        </w:rPr>
        <w:t>政务</w:t>
      </w:r>
      <w:r>
        <w:rPr>
          <w:rFonts w:hint="eastAsia" w:ascii="仿宋_GB2312" w:hAnsi="宋体" w:eastAsia="仿宋_GB2312" w:cs="仿宋_GB2312"/>
          <w:sz w:val="32"/>
          <w:szCs w:val="32"/>
        </w:rPr>
        <w:t>信息公开网站累计</w:t>
      </w:r>
      <w:r>
        <w:rPr>
          <w:rFonts w:hint="eastAsia" w:ascii="仿宋_GB2312" w:hAnsi="宋体" w:eastAsia="仿宋_GB2312" w:cs="仿宋_GB2312"/>
          <w:sz w:val="32"/>
          <w:szCs w:val="32"/>
          <w:lang w:eastAsia="zh-CN"/>
        </w:rPr>
        <w:t>发布</w:t>
      </w:r>
      <w:r>
        <w:rPr>
          <w:rFonts w:hint="eastAsia" w:ascii="仿宋_GB2312" w:hAnsi="宋体" w:eastAsia="仿宋_GB2312" w:cs="仿宋_GB2312"/>
          <w:sz w:val="32"/>
          <w:szCs w:val="32"/>
        </w:rPr>
        <w:t>信息</w:t>
      </w:r>
      <w:r>
        <w:rPr>
          <w:rFonts w:hint="eastAsia" w:ascii="仿宋_GB2312" w:hAnsi="宋体" w:eastAsia="仿宋_GB2312" w:cs="仿宋_GB2312"/>
          <w:sz w:val="32"/>
          <w:szCs w:val="32"/>
          <w:lang w:val="en-US" w:eastAsia="zh-CN"/>
        </w:rPr>
        <w:t>23</w:t>
      </w:r>
      <w:r>
        <w:rPr>
          <w:rFonts w:hint="eastAsia" w:ascii="仿宋_GB2312" w:hAnsi="宋体" w:eastAsia="仿宋_GB2312" w:cs="仿宋_GB2312"/>
          <w:sz w:val="32"/>
          <w:szCs w:val="32"/>
        </w:rPr>
        <w:t>条</w:t>
      </w:r>
      <w:r>
        <w:rPr>
          <w:rFonts w:hint="eastAsia" w:ascii="仿宋_GB2312" w:hAnsi="宋体" w:eastAsia="仿宋_GB2312" w:cs="仿宋_GB2312"/>
          <w:sz w:val="32"/>
          <w:szCs w:val="32"/>
          <w:lang w:eastAsia="zh-CN"/>
        </w:rPr>
        <w:t>，全面完成了政务信息公开工作。在政务信息网转载商务部</w:t>
      </w:r>
      <w:r>
        <w:rPr>
          <w:rFonts w:hint="eastAsia" w:ascii="仿宋_GB2312" w:hAnsi="宋体" w:eastAsia="仿宋_GB2312" w:cs="仿宋_GB2312"/>
          <w:sz w:val="32"/>
          <w:szCs w:val="32"/>
        </w:rPr>
        <w:t>规范性文件、政策及解读、</w:t>
      </w:r>
      <w:r>
        <w:rPr>
          <w:rFonts w:hint="eastAsia" w:ascii="仿宋_GB2312" w:hAnsi="宋体" w:eastAsia="仿宋_GB2312" w:cs="仿宋_GB2312"/>
          <w:sz w:val="32"/>
          <w:szCs w:val="32"/>
          <w:lang w:eastAsia="zh-CN"/>
        </w:rPr>
        <w:t>商贸安全生产、成品油管理、安全专项整治、促消费意见、诚信宾馆评选、征求意见建议等，</w:t>
      </w:r>
      <w:r>
        <w:rPr>
          <w:rFonts w:hint="eastAsia" w:ascii="仿宋_GB2312" w:hAnsi="宋体" w:eastAsia="仿宋_GB2312" w:cs="仿宋_GB2312"/>
          <w:sz w:val="32"/>
          <w:szCs w:val="32"/>
        </w:rPr>
        <w:t>及时公开法规、规章、规范性文件和其他政策性文件的修改、废止、失效情况</w:t>
      </w:r>
      <w:r>
        <w:rPr>
          <w:rFonts w:hint="eastAsia" w:ascii="仿宋_GB2312" w:hAnsi="宋体" w:eastAsia="仿宋_GB2312" w:cs="仿宋_GB2312"/>
          <w:sz w:val="32"/>
          <w:szCs w:val="32"/>
          <w:lang w:eastAsia="zh-CN"/>
        </w:rPr>
        <w:t>，不仅</w:t>
      </w:r>
      <w:r>
        <w:rPr>
          <w:rFonts w:hint="eastAsia" w:ascii="仿宋_GB2312" w:hAnsi="宋体" w:eastAsia="仿宋_GB2312" w:cs="仿宋_GB2312"/>
          <w:sz w:val="32"/>
          <w:szCs w:val="32"/>
        </w:rPr>
        <w:t>宣传了我局工作动态，</w:t>
      </w:r>
      <w:r>
        <w:rPr>
          <w:rFonts w:hint="eastAsia" w:ascii="仿宋_GB2312" w:hAnsi="宋体" w:eastAsia="仿宋_GB2312" w:cs="仿宋_GB2312"/>
          <w:sz w:val="32"/>
          <w:szCs w:val="32"/>
          <w:lang w:eastAsia="zh-CN"/>
        </w:rPr>
        <w:t>也</w:t>
      </w:r>
      <w:r>
        <w:rPr>
          <w:rFonts w:hint="eastAsia" w:ascii="仿宋_GB2312" w:hAnsi="宋体" w:eastAsia="仿宋_GB2312" w:cs="仿宋_GB2312"/>
          <w:sz w:val="32"/>
          <w:szCs w:val="32"/>
        </w:rPr>
        <w:t>方便群众了解我局工作和职能</w:t>
      </w:r>
      <w:r>
        <w:rPr>
          <w:rFonts w:hint="eastAsia" w:ascii="仿宋_GB2312" w:hAnsi="宋体" w:eastAsia="仿宋_GB2312" w:cs="仿宋_GB2312"/>
          <w:sz w:val="32"/>
          <w:szCs w:val="32"/>
          <w:lang w:eastAsia="zh-CN"/>
        </w:rPr>
        <w:t>。</w:t>
      </w:r>
    </w:p>
    <w:p>
      <w:pPr>
        <w:spacing w:line="560" w:lineRule="exact"/>
        <w:ind w:firstLine="641"/>
        <w:rPr>
          <w:rFonts w:hint="eastAsia" w:ascii="仿宋_GB2312" w:hAnsi="宋体" w:eastAsia="仿宋_GB2312" w:cs="仿宋_GB2312"/>
          <w:sz w:val="32"/>
          <w:szCs w:val="32"/>
          <w:lang w:eastAsia="zh-CN"/>
        </w:rPr>
      </w:pPr>
      <w:r>
        <w:rPr>
          <w:rFonts w:hint="eastAsia" w:ascii="仿宋_GB2312" w:hAnsi="仿宋_GB2312" w:eastAsia="仿宋_GB2312" w:cs="仿宋_GB2312"/>
          <w:b/>
          <w:bCs/>
          <w:sz w:val="32"/>
          <w:szCs w:val="32"/>
          <w:lang w:val="en-US" w:eastAsia="zh-CN"/>
        </w:rPr>
        <w:t>2.公开方式。</w:t>
      </w:r>
      <w:r>
        <w:rPr>
          <w:rFonts w:hint="eastAsia" w:ascii="仿宋_GB2312" w:hAnsi="宋体" w:eastAsia="仿宋_GB2312" w:cs="仿宋_GB2312"/>
          <w:sz w:val="32"/>
          <w:szCs w:val="32"/>
          <w:lang w:eastAsia="zh-CN"/>
        </w:rPr>
        <w:t>根据商务工作的安排部署，</w:t>
      </w:r>
      <w:r>
        <w:rPr>
          <w:rFonts w:hint="eastAsia" w:ascii="仿宋_GB2312" w:hAnsi="宋体" w:eastAsia="仿宋_GB2312" w:cs="仿宋_GB2312"/>
          <w:sz w:val="32"/>
          <w:szCs w:val="32"/>
        </w:rPr>
        <w:t>安排专人及时收集、整理本单位的各类</w:t>
      </w:r>
      <w:r>
        <w:rPr>
          <w:rFonts w:hint="eastAsia" w:ascii="仿宋_GB2312" w:hAnsi="宋体" w:eastAsia="仿宋_GB2312" w:cs="仿宋_GB2312"/>
          <w:sz w:val="32"/>
          <w:szCs w:val="32"/>
          <w:lang w:val="en-US" w:eastAsia="zh-CN"/>
        </w:rPr>
        <w:t>政务公开</w:t>
      </w:r>
      <w:r>
        <w:rPr>
          <w:rFonts w:hint="eastAsia" w:ascii="仿宋_GB2312" w:hAnsi="宋体" w:eastAsia="仿宋_GB2312" w:cs="仿宋_GB2312"/>
          <w:sz w:val="32"/>
          <w:szCs w:val="32"/>
        </w:rPr>
        <w:t>信息，并按规定及时上传，做到科学分类、集中公开，进一步方便社会</w:t>
      </w:r>
      <w:r>
        <w:rPr>
          <w:rFonts w:hint="eastAsia" w:ascii="仿宋_GB2312" w:hAnsi="宋体" w:eastAsia="仿宋_GB2312" w:cs="仿宋_GB2312"/>
          <w:sz w:val="32"/>
          <w:szCs w:val="32"/>
          <w:lang w:eastAsia="zh-CN"/>
        </w:rPr>
        <w:t>公众获取</w:t>
      </w:r>
      <w:r>
        <w:rPr>
          <w:rFonts w:hint="eastAsia" w:ascii="仿宋_GB2312" w:hAnsi="宋体" w:eastAsia="仿宋_GB2312" w:cs="仿宋_GB2312"/>
          <w:sz w:val="32"/>
          <w:szCs w:val="32"/>
        </w:rPr>
        <w:t>信息</w:t>
      </w:r>
      <w:r>
        <w:rPr>
          <w:rFonts w:hint="eastAsia" w:ascii="仿宋_GB2312" w:hAnsi="宋体" w:eastAsia="仿宋_GB2312" w:cs="仿宋_GB2312"/>
          <w:sz w:val="32"/>
          <w:szCs w:val="32"/>
          <w:lang w:eastAsia="zh-CN"/>
        </w:rPr>
        <w:t>。</w:t>
      </w:r>
    </w:p>
    <w:p>
      <w:pPr>
        <w:spacing w:line="560" w:lineRule="exact"/>
        <w:ind w:firstLine="641"/>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pacing w:val="-20"/>
          <w:sz w:val="32"/>
          <w:szCs w:val="32"/>
          <w:lang w:eastAsia="zh-CN"/>
        </w:rPr>
        <w:t>（三）政府信息依申请公开办理情况</w:t>
      </w:r>
    </w:p>
    <w:p>
      <w:pPr>
        <w:spacing w:line="560" w:lineRule="exact"/>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eastAsia="zh-CN"/>
        </w:rPr>
        <w:t>2019年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依法依规做好依申请公开工作，但是未接到要求公开政府信息的申请。</w:t>
      </w:r>
    </w:p>
    <w:p>
      <w:pPr>
        <w:numPr>
          <w:ilvl w:val="0"/>
          <w:numId w:val="0"/>
        </w:numPr>
        <w:spacing w:line="560" w:lineRule="exact"/>
        <w:ind w:left="640" w:leftChars="0"/>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pacing w:val="-20"/>
          <w:sz w:val="32"/>
          <w:szCs w:val="32"/>
          <w:lang w:eastAsia="zh-CN"/>
        </w:rPr>
        <w:t>（四）政府信息公开的收费及减免情况</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lang w:eastAsia="zh-CN"/>
        </w:rPr>
        <w:t>2019年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无对政府信息公开申请收取费用项目或减免情况。</w:t>
      </w:r>
    </w:p>
    <w:p>
      <w:pPr>
        <w:numPr>
          <w:ilvl w:val="0"/>
          <w:numId w:val="0"/>
        </w:numPr>
        <w:spacing w:line="560" w:lineRule="exact"/>
        <w:ind w:left="640" w:leftChars="0"/>
        <w:rPr>
          <w:rFonts w:hint="eastAsia" w:ascii="楷体_GB2312" w:hAnsi="楷体_GB2312" w:eastAsia="楷体_GB2312" w:cs="楷体_GB2312"/>
          <w:b/>
          <w:bCs/>
          <w:spacing w:val="-20"/>
          <w:sz w:val="32"/>
          <w:szCs w:val="32"/>
          <w:lang w:eastAsia="zh-CN"/>
        </w:rPr>
      </w:pPr>
      <w:r>
        <w:rPr>
          <w:rFonts w:hint="eastAsia" w:ascii="楷体_GB2312" w:hAnsi="楷体_GB2312" w:eastAsia="楷体_GB2312" w:cs="楷体_GB2312"/>
          <w:b/>
          <w:bCs/>
          <w:spacing w:val="-20"/>
          <w:sz w:val="32"/>
          <w:szCs w:val="32"/>
          <w:lang w:eastAsia="zh-CN"/>
        </w:rPr>
        <w:t>（五）因政府信息公开申请行政复议、提起行政诉讼的情况</w:t>
      </w:r>
    </w:p>
    <w:p>
      <w:pPr>
        <w:spacing w:line="560" w:lineRule="exact"/>
        <w:ind w:firstLine="579" w:firstLineChars="181"/>
        <w:rPr>
          <w:rFonts w:ascii="仿宋_GB2312" w:hAnsi="宋体" w:eastAsia="仿宋_GB2312" w:cs="Times New Roman"/>
          <w:sz w:val="32"/>
          <w:szCs w:val="32"/>
        </w:rPr>
      </w:pPr>
      <w:r>
        <w:rPr>
          <w:rFonts w:hint="eastAsia" w:ascii="仿宋_GB2312" w:hAnsi="宋体" w:eastAsia="仿宋_GB2312" w:cs="仿宋_GB2312"/>
          <w:sz w:val="32"/>
          <w:szCs w:val="32"/>
          <w:lang w:eastAsia="zh-CN"/>
        </w:rPr>
        <w:t>2019年</w:t>
      </w:r>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山丹县商务局</w:t>
      </w:r>
      <w:r>
        <w:rPr>
          <w:rFonts w:hint="eastAsia" w:ascii="仿宋_GB2312" w:hAnsi="宋体" w:eastAsia="仿宋_GB2312" w:cs="仿宋_GB2312"/>
          <w:sz w:val="32"/>
          <w:szCs w:val="32"/>
        </w:rPr>
        <w:t>未接到因政府信息公开申请行政复议、提起行政诉讼等相关事项，没有相关情况发生。</w:t>
      </w: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二、主动公开政府信息情况</w:t>
      </w:r>
    </w:p>
    <w:tbl>
      <w:tblPr>
        <w:tblStyle w:val="4"/>
        <w:tblW w:w="0" w:type="auto"/>
        <w:jc w:val="center"/>
        <w:tblLayout w:type="autofit"/>
        <w:tblCellMar>
          <w:top w:w="0" w:type="dxa"/>
          <w:left w:w="0" w:type="dxa"/>
          <w:bottom w:w="0" w:type="dxa"/>
          <w:right w:w="0" w:type="dxa"/>
        </w:tblCellMar>
      </w:tblPr>
      <w:tblGrid>
        <w:gridCol w:w="3196"/>
        <w:gridCol w:w="2060"/>
        <w:gridCol w:w="1063"/>
        <w:gridCol w:w="2203"/>
      </w:tblGrid>
      <w:tr>
        <w:tblPrEx>
          <w:tblCellMar>
            <w:top w:w="0" w:type="dxa"/>
            <w:left w:w="0" w:type="dxa"/>
            <w:bottom w:w="0" w:type="dxa"/>
            <w:right w:w="0" w:type="dxa"/>
          </w:tblCellMar>
        </w:tblPrEx>
        <w:trPr>
          <w:trHeight w:val="432" w:hRule="atLeast"/>
          <w:jc w:val="center"/>
        </w:trPr>
        <w:tc>
          <w:tcPr>
            <w:tcW w:w="8444" w:type="dxa"/>
            <w:gridSpan w:val="4"/>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第二十条第（一）项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本年新</w:t>
            </w:r>
            <w:r>
              <w:rPr>
                <w:rFonts w:ascii="仿宋_GB2312" w:hAnsi="黑体" w:eastAsia="仿宋_GB2312" w:cs="Times New Roman"/>
                <w:color w:val="000000"/>
                <w:kern w:val="0"/>
                <w:sz w:val="28"/>
                <w:szCs w:val="28"/>
              </w:rPr>
              <w:br w:type="textWrapping"/>
            </w:r>
            <w:r>
              <w:rPr>
                <w:rFonts w:hint="eastAsia" w:ascii="仿宋_GB2312" w:hAnsi="黑体" w:eastAsia="仿宋_GB2312" w:cs="仿宋_GB2312"/>
                <w:kern w:val="0"/>
                <w:sz w:val="28"/>
                <w:szCs w:val="28"/>
              </w:rPr>
              <w:t>制作数量</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本年新</w:t>
            </w:r>
            <w:r>
              <w:rPr>
                <w:rFonts w:ascii="仿宋_GB2312" w:hAnsi="黑体" w:eastAsia="仿宋_GB2312" w:cs="Times New Roman"/>
                <w:color w:val="000000"/>
                <w:kern w:val="0"/>
                <w:sz w:val="28"/>
                <w:szCs w:val="28"/>
              </w:rPr>
              <w:br w:type="textWrapping"/>
            </w:r>
            <w:r>
              <w:rPr>
                <w:rFonts w:hint="eastAsia" w:ascii="仿宋_GB2312" w:hAnsi="黑体" w:eastAsia="仿宋_GB2312" w:cs="仿宋_GB2312"/>
                <w:kern w:val="0"/>
                <w:sz w:val="28"/>
                <w:szCs w:val="28"/>
              </w:rPr>
              <w:t>公开数量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对外公开总数量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规章</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规范性文件</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第二十条第（五）项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上一年项目数量</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本年增</w:t>
            </w:r>
            <w:r>
              <w:rPr>
                <w:rFonts w:ascii="仿宋_GB2312" w:hAnsi="黑体" w:eastAsia="仿宋_GB2312" w:cs="仿宋_GB2312"/>
                <w:color w:val="000000"/>
                <w:kern w:val="0"/>
                <w:sz w:val="28"/>
                <w:szCs w:val="28"/>
              </w:rPr>
              <w:t>/</w:t>
            </w:r>
            <w:r>
              <w:rPr>
                <w:rFonts w:hint="eastAsia" w:ascii="仿宋_GB2312" w:hAnsi="黑体" w:eastAsia="仿宋_GB2312" w:cs="仿宋_GB2312"/>
                <w:color w:val="000000"/>
                <w:kern w:val="0"/>
                <w:sz w:val="28"/>
                <w:szCs w:val="28"/>
              </w:rPr>
              <w:t>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处理决定数量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行政许可</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其他对外管理服务事项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default"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1</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bookmarkStart w:id="0" w:name="_GoBack"/>
            <w:bookmarkEnd w:id="0"/>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第二十条第（六）项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信息内容</w:t>
            </w:r>
          </w:p>
        </w:tc>
        <w:tc>
          <w:tcPr>
            <w:tcW w:w="0" w:type="auto"/>
            <w:tcBorders>
              <w:top w:val="single" w:color="auto" w:sz="8" w:space="0"/>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上一年项目数量</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本年增</w:t>
            </w:r>
            <w:r>
              <w:rPr>
                <w:rFonts w:ascii="仿宋_GB2312" w:hAnsi="黑体" w:eastAsia="仿宋_GB2312" w:cs="仿宋_GB2312"/>
                <w:color w:val="000000"/>
                <w:kern w:val="0"/>
                <w:sz w:val="28"/>
                <w:szCs w:val="28"/>
              </w:rPr>
              <w:t>/</w:t>
            </w:r>
            <w:r>
              <w:rPr>
                <w:rFonts w:hint="eastAsia" w:ascii="仿宋_GB2312" w:hAnsi="黑体" w:eastAsia="仿宋_GB2312" w:cs="仿宋_GB2312"/>
                <w:color w:val="000000"/>
                <w:kern w:val="0"/>
                <w:sz w:val="28"/>
                <w:szCs w:val="28"/>
              </w:rPr>
              <w:t>减</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处理决定数量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行政处罚</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行政强制</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2328" w:type="dxa"/>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第二十条第（八）项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信息内容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上一年项目数量</w:t>
            </w:r>
          </w:p>
        </w:tc>
        <w:tc>
          <w:tcPr>
            <w:tcW w:w="344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本年增</w:t>
            </w:r>
            <w:r>
              <w:rPr>
                <w:rFonts w:ascii="仿宋_GB2312" w:hAnsi="黑体" w:eastAsia="仿宋_GB2312" w:cs="仿宋_GB2312"/>
                <w:color w:val="000000"/>
                <w:kern w:val="0"/>
                <w:sz w:val="28"/>
                <w:szCs w:val="28"/>
              </w:rPr>
              <w:t>/</w:t>
            </w:r>
            <w:r>
              <w:rPr>
                <w:rFonts w:hint="eastAsia" w:ascii="仿宋_GB2312" w:hAnsi="黑体" w:eastAsia="仿宋_GB2312" w:cs="仿宋_GB2312"/>
                <w:color w:val="000000"/>
                <w:kern w:val="0"/>
                <w:sz w:val="28"/>
                <w:szCs w:val="28"/>
              </w:rPr>
              <w:t>减</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行政事业性收费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3444" w:type="dxa"/>
            <w:gridSpan w:val="2"/>
            <w:tcBorders>
              <w:top w:val="nil"/>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r>
        <w:tblPrEx>
          <w:tblCellMar>
            <w:top w:w="0" w:type="dxa"/>
            <w:left w:w="0" w:type="dxa"/>
            <w:bottom w:w="0" w:type="dxa"/>
            <w:right w:w="0" w:type="dxa"/>
          </w:tblCellMar>
        </w:tblPrEx>
        <w:trPr>
          <w:jc w:val="center"/>
        </w:trPr>
        <w:tc>
          <w:tcPr>
            <w:tcW w:w="8444"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第二十条第（九）项</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信息内容</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采购项目数量</w:t>
            </w:r>
          </w:p>
        </w:tc>
        <w:tc>
          <w:tcPr>
            <w:tcW w:w="3444"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采购总金额</w:t>
            </w:r>
          </w:p>
        </w:tc>
      </w:tr>
      <w:tr>
        <w:tblPrEx>
          <w:tblCellMar>
            <w:top w:w="0" w:type="dxa"/>
            <w:left w:w="0" w:type="dxa"/>
            <w:bottom w:w="0" w:type="dxa"/>
            <w:right w:w="0" w:type="dxa"/>
          </w:tblCellMar>
        </w:tblPrEx>
        <w:trPr>
          <w:jc w:val="center"/>
        </w:trPr>
        <w:tc>
          <w:tcPr>
            <w:tcW w:w="338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left"/>
              <w:rPr>
                <w:rFonts w:ascii="仿宋_GB2312" w:hAnsi="黑体" w:eastAsia="仿宋_GB2312" w:cs="Times New Roman"/>
                <w:sz w:val="28"/>
                <w:szCs w:val="28"/>
              </w:rPr>
            </w:pPr>
            <w:r>
              <w:rPr>
                <w:rFonts w:hint="eastAsia" w:ascii="仿宋_GB2312" w:hAnsi="黑体" w:eastAsia="仿宋_GB2312" w:cs="仿宋_GB2312"/>
                <w:color w:val="000000"/>
                <w:kern w:val="0"/>
                <w:sz w:val="28"/>
                <w:szCs w:val="28"/>
              </w:rPr>
              <w:t>政府集中采购</w:t>
            </w:r>
          </w:p>
        </w:tc>
        <w:tc>
          <w:tcPr>
            <w:tcW w:w="0" w:type="auto"/>
            <w:tcBorders>
              <w:top w:val="nil"/>
              <w:left w:val="nil"/>
              <w:bottom w:val="single" w:color="auto" w:sz="8" w:space="0"/>
              <w:right w:val="single" w:color="auto"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c>
          <w:tcPr>
            <w:tcW w:w="3444" w:type="dxa"/>
            <w:gridSpan w:val="2"/>
            <w:tcBorders>
              <w:top w:val="nil"/>
              <w:left w:val="nil"/>
              <w:bottom w:val="single" w:color="auto" w:sz="8" w:space="0"/>
              <w:right w:val="single" w:color="000000" w:sz="8" w:space="0"/>
            </w:tcBorders>
            <w:noWrap/>
            <w:tcMar>
              <w:left w:w="108" w:type="dxa"/>
              <w:right w:w="108" w:type="dxa"/>
            </w:tcMar>
            <w:vAlign w:val="center"/>
          </w:tcPr>
          <w:p>
            <w:pPr>
              <w:widowControl/>
              <w:adjustRightInd w:val="0"/>
              <w:snapToGrid w:val="0"/>
              <w:spacing w:line="420" w:lineRule="exact"/>
              <w:jc w:val="center"/>
              <w:rPr>
                <w:rFonts w:hint="eastAsia" w:ascii="仿宋_GB2312" w:hAnsi="黑体" w:eastAsia="仿宋_GB2312" w:cs="Times New Roman"/>
                <w:sz w:val="28"/>
                <w:szCs w:val="28"/>
                <w:lang w:val="en-US" w:eastAsia="zh-CN"/>
              </w:rPr>
            </w:pPr>
            <w:r>
              <w:rPr>
                <w:rFonts w:hint="eastAsia" w:ascii="仿宋_GB2312" w:hAnsi="黑体" w:eastAsia="仿宋_GB2312" w:cs="Times New Roman"/>
                <w:sz w:val="28"/>
                <w:szCs w:val="28"/>
                <w:lang w:val="en-US" w:eastAsia="zh-CN"/>
              </w:rPr>
              <w:t>0</w:t>
            </w:r>
          </w:p>
        </w:tc>
      </w:tr>
    </w:tbl>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三、收到和处理政府信息公开申请情况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60"/>
        <w:gridCol w:w="1285"/>
        <w:gridCol w:w="2538"/>
        <w:gridCol w:w="611"/>
        <w:gridCol w:w="585"/>
        <w:gridCol w:w="585"/>
        <w:gridCol w:w="770"/>
        <w:gridCol w:w="770"/>
        <w:gridCol w:w="401"/>
        <w:gridCol w:w="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after="180" w:line="380" w:lineRule="exact"/>
              <w:rPr>
                <w:rFonts w:ascii="黑体" w:hAnsi="黑体" w:eastAsia="黑体" w:cs="Times New Roman"/>
                <w:sz w:val="21"/>
                <w:szCs w:val="21"/>
              </w:rPr>
            </w:pPr>
            <w:r>
              <w:rPr>
                <w:rFonts w:hint="eastAsia" w:ascii="黑体" w:hAnsi="黑体" w:eastAsia="黑体" w:cs="黑体"/>
                <w:kern w:val="0"/>
                <w:sz w:val="21"/>
                <w:szCs w:val="21"/>
              </w:rPr>
              <w:t>（本列数据的勾稽关系为：第一项加第二项之和，等于第三项加第四项之和）</w:t>
            </w:r>
          </w:p>
        </w:tc>
        <w:tc>
          <w:tcPr>
            <w:tcW w:w="4240"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after="180" w:line="380" w:lineRule="exact"/>
              <w:jc w:val="center"/>
              <w:rPr>
                <w:rFonts w:ascii="黑体" w:hAnsi="黑体" w:eastAsia="黑体" w:cs="Times New Roman"/>
                <w:sz w:val="21"/>
                <w:szCs w:val="21"/>
              </w:rPr>
            </w:pPr>
            <w:r>
              <w:rPr>
                <w:rFonts w:hint="eastAsia" w:ascii="黑体" w:hAnsi="黑体" w:eastAsia="黑体" w:cs="黑体"/>
                <w:kern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80" w:lineRule="exact"/>
              <w:rPr>
                <w:rFonts w:ascii="黑体" w:hAnsi="黑体" w:eastAsia="黑体" w:cs="Times New Roman"/>
                <w:sz w:val="21"/>
                <w:szCs w:val="21"/>
              </w:rPr>
            </w:pPr>
          </w:p>
        </w:tc>
        <w:tc>
          <w:tcPr>
            <w:tcW w:w="0" w:type="auto"/>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after="180" w:line="380" w:lineRule="exact"/>
              <w:jc w:val="center"/>
              <w:rPr>
                <w:rFonts w:ascii="黑体" w:hAnsi="黑体" w:eastAsia="黑体" w:cs="Times New Roman"/>
                <w:sz w:val="21"/>
                <w:szCs w:val="21"/>
              </w:rPr>
            </w:pPr>
            <w:r>
              <w:rPr>
                <w:rFonts w:hint="eastAsia" w:ascii="黑体" w:hAnsi="黑体" w:eastAsia="黑体" w:cs="黑体"/>
                <w:kern w:val="0"/>
                <w:sz w:val="21"/>
                <w:szCs w:val="21"/>
              </w:rPr>
              <w:t>自然人</w:t>
            </w:r>
          </w:p>
        </w:tc>
        <w:tc>
          <w:tcPr>
            <w:tcW w:w="0" w:type="auto"/>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after="180" w:line="380" w:lineRule="exact"/>
              <w:jc w:val="center"/>
              <w:rPr>
                <w:rFonts w:ascii="黑体" w:hAnsi="黑体" w:eastAsia="黑体" w:cs="Times New Roman"/>
                <w:sz w:val="21"/>
                <w:szCs w:val="21"/>
              </w:rPr>
            </w:pPr>
            <w:r>
              <w:rPr>
                <w:rFonts w:hint="eastAsia" w:ascii="黑体" w:hAnsi="黑体" w:eastAsia="黑体" w:cs="黑体"/>
                <w:kern w:val="0"/>
                <w:sz w:val="21"/>
                <w:szCs w:val="21"/>
              </w:rPr>
              <w:t>法人或其他组织</w:t>
            </w:r>
          </w:p>
        </w:tc>
        <w:tc>
          <w:tcPr>
            <w:tcW w:w="51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after="180" w:line="380" w:lineRule="exact"/>
              <w:jc w:val="center"/>
              <w:rPr>
                <w:rFonts w:ascii="黑体" w:hAnsi="黑体" w:eastAsia="黑体" w:cs="Times New Roman"/>
                <w:sz w:val="21"/>
                <w:szCs w:val="21"/>
              </w:rPr>
            </w:pPr>
            <w:r>
              <w:rPr>
                <w:rFonts w:hint="eastAsia" w:ascii="黑体" w:hAnsi="黑体" w:eastAsia="黑体" w:cs="黑体"/>
                <w:kern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0" w:type="dxa"/>
              <w:right w:w="0"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商业企业</w:t>
            </w:r>
          </w:p>
        </w:tc>
        <w:tc>
          <w:tcPr>
            <w:tcW w:w="0" w:type="auto"/>
            <w:tcBorders>
              <w:top w:val="nil"/>
              <w:left w:val="nil"/>
              <w:bottom w:val="single" w:color="auto" w:sz="8" w:space="0"/>
              <w:right w:val="single" w:color="auto" w:sz="8" w:space="0"/>
            </w:tcBorders>
            <w:tcMar>
              <w:left w:w="0" w:type="dxa"/>
              <w:right w:w="0"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科研机构</w:t>
            </w:r>
          </w:p>
        </w:tc>
        <w:tc>
          <w:tcPr>
            <w:tcW w:w="0" w:type="auto"/>
            <w:tcBorders>
              <w:top w:val="single" w:color="auto" w:sz="8" w:space="0"/>
              <w:left w:val="nil"/>
              <w:bottom w:val="single" w:color="auto" w:sz="8" w:space="0"/>
              <w:right w:val="single" w:color="auto" w:sz="8" w:space="0"/>
            </w:tcBorders>
            <w:tcMar>
              <w:left w:w="0" w:type="dxa"/>
              <w:right w:w="0"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社会公益组织</w:t>
            </w:r>
          </w:p>
        </w:tc>
        <w:tc>
          <w:tcPr>
            <w:tcW w:w="0" w:type="auto"/>
            <w:tcBorders>
              <w:top w:val="single" w:color="auto" w:sz="8" w:space="0"/>
              <w:left w:val="nil"/>
              <w:bottom w:val="single" w:color="auto" w:sz="8" w:space="0"/>
              <w:right w:val="single" w:color="auto" w:sz="8" w:space="0"/>
            </w:tcBorders>
            <w:tcMar>
              <w:left w:w="0" w:type="dxa"/>
              <w:right w:w="0"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法律服务机构</w:t>
            </w:r>
          </w:p>
        </w:tc>
        <w:tc>
          <w:tcPr>
            <w:tcW w:w="0" w:type="auto"/>
            <w:tcBorders>
              <w:top w:val="single" w:color="auto" w:sz="8" w:space="0"/>
              <w:left w:val="nil"/>
              <w:bottom w:val="single" w:color="auto" w:sz="8" w:space="0"/>
              <w:right w:val="single" w:color="auto" w:sz="8" w:space="0"/>
            </w:tcBorders>
            <w:tcMar>
              <w:left w:w="0" w:type="dxa"/>
              <w:right w:w="0"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其他</w:t>
            </w:r>
          </w:p>
        </w:tc>
        <w:tc>
          <w:tcPr>
            <w:tcW w:w="518" w:type="dxa"/>
            <w:tcBorders>
              <w:top w:val="single" w:color="auto" w:sz="8" w:space="0"/>
              <w:left w:val="nil"/>
              <w:right w:val="single" w:color="auto" w:sz="8" w:space="0"/>
            </w:tcBorders>
            <w:tcMar>
              <w:left w:w="108" w:type="dxa"/>
              <w:right w:w="108" w:type="dxa"/>
            </w:tcMar>
            <w:vAlign w:val="center"/>
          </w:tcPr>
          <w:p>
            <w:pPr>
              <w:adjustRightInd w:val="0"/>
              <w:snapToGrid w:val="0"/>
              <w:spacing w:line="380" w:lineRule="exact"/>
              <w:jc w:val="center"/>
              <w:rPr>
                <w:rFonts w:hint="eastAsia" w:ascii="黑体" w:hAnsi="黑体" w:eastAsia="黑体" w:cs="Times New Roman"/>
                <w:sz w:val="21"/>
                <w:szCs w:val="21"/>
                <w:lang w:val="en-US" w:eastAsia="zh-CN"/>
              </w:rPr>
            </w:pPr>
            <w:r>
              <w:rPr>
                <w:rFonts w:hint="eastAsia" w:ascii="黑体" w:hAnsi="黑体" w:eastAsia="黑体"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一、本年新收政府信息公开申请数量</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hint="eastAsia" w:ascii="黑体" w:hAnsi="黑体" w:eastAsia="黑体" w:cs="Times New Roman"/>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二、上年结转政府信息公开申请数量</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三</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本</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年</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度</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办</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理</w:t>
            </w:r>
          </w:p>
          <w:p>
            <w:pPr>
              <w:widowControl/>
              <w:adjustRightInd w:val="0"/>
              <w:snapToGrid w:val="0"/>
              <w:spacing w:line="380" w:lineRule="exact"/>
              <w:jc w:val="center"/>
              <w:rPr>
                <w:rFonts w:ascii="黑体" w:hAnsi="黑体" w:eastAsia="黑体" w:cs="Times New Roman"/>
                <w:kern w:val="0"/>
                <w:sz w:val="21"/>
                <w:szCs w:val="21"/>
              </w:rPr>
            </w:pPr>
            <w:r>
              <w:rPr>
                <w:rFonts w:hint="eastAsia" w:ascii="黑体" w:hAnsi="黑体" w:eastAsia="黑体" w:cs="黑体"/>
                <w:kern w:val="0"/>
                <w:sz w:val="21"/>
                <w:szCs w:val="21"/>
              </w:rPr>
              <w:t>结</w:t>
            </w:r>
          </w:p>
          <w:p>
            <w:pPr>
              <w:widowControl/>
              <w:adjustRightInd w:val="0"/>
              <w:snapToGrid w:val="0"/>
              <w:spacing w:line="380" w:lineRule="exact"/>
              <w:jc w:val="center"/>
              <w:rPr>
                <w:rFonts w:ascii="黑体" w:hAnsi="黑体" w:eastAsia="黑体" w:cs="Times New Roman"/>
                <w:sz w:val="21"/>
                <w:szCs w:val="21"/>
              </w:rPr>
            </w:pPr>
            <w:r>
              <w:rPr>
                <w:rFonts w:hint="eastAsia" w:ascii="黑体" w:hAnsi="黑体" w:eastAsia="黑体" w:cs="黑体"/>
                <w:kern w:val="0"/>
                <w:sz w:val="21"/>
                <w:szCs w:val="21"/>
              </w:rPr>
              <w:t>果</w:t>
            </w:r>
          </w:p>
        </w:tc>
        <w:tc>
          <w:tcPr>
            <w:tcW w:w="0" w:type="auto"/>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（一）予以公开</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（二）部分公开（区分处理的，只计这一情形，不计其他情形）</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spacing w:val="-6"/>
                <w:kern w:val="0"/>
                <w:sz w:val="21"/>
                <w:szCs w:val="21"/>
              </w:rPr>
              <w:t>（三）不予公开</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1.</w:t>
            </w:r>
            <w:r>
              <w:rPr>
                <w:rFonts w:hint="eastAsia" w:ascii="黑体" w:hAnsi="黑体" w:eastAsia="黑体" w:cs="黑体"/>
                <w:kern w:val="0"/>
                <w:sz w:val="21"/>
                <w:szCs w:val="21"/>
              </w:rPr>
              <w:t>属于国家秘密</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spacing w:val="-6"/>
                <w:kern w:val="0"/>
                <w:sz w:val="21"/>
                <w:szCs w:val="21"/>
              </w:rPr>
              <w:t>2.</w:t>
            </w:r>
            <w:r>
              <w:rPr>
                <w:rFonts w:hint="eastAsia" w:ascii="黑体" w:hAnsi="黑体" w:eastAsia="黑体" w:cs="黑体"/>
                <w:spacing w:val="-6"/>
                <w:kern w:val="0"/>
                <w:sz w:val="21"/>
                <w:szCs w:val="21"/>
              </w:rPr>
              <w:t>其他法律行政法规禁止公开</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3.</w:t>
            </w:r>
            <w:r>
              <w:rPr>
                <w:rFonts w:hint="eastAsia" w:ascii="黑体" w:hAnsi="黑体" w:eastAsia="黑体" w:cs="黑体"/>
                <w:kern w:val="0"/>
                <w:sz w:val="21"/>
                <w:szCs w:val="21"/>
              </w:rPr>
              <w:t>危及“三安全一稳定”</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4.</w:t>
            </w:r>
            <w:r>
              <w:rPr>
                <w:rFonts w:hint="eastAsia" w:ascii="黑体" w:hAnsi="黑体" w:eastAsia="黑体" w:cs="黑体"/>
                <w:kern w:val="0"/>
                <w:sz w:val="21"/>
                <w:szCs w:val="21"/>
              </w:rPr>
              <w:t>保护第三方合法权益</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5.</w:t>
            </w:r>
            <w:r>
              <w:rPr>
                <w:rFonts w:hint="eastAsia" w:ascii="黑体" w:hAnsi="黑体" w:eastAsia="黑体" w:cs="黑体"/>
                <w:kern w:val="0"/>
                <w:sz w:val="21"/>
                <w:szCs w:val="21"/>
              </w:rPr>
              <w:t>属于三类内部事务信息</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6.</w:t>
            </w:r>
            <w:r>
              <w:rPr>
                <w:rFonts w:hint="eastAsia" w:ascii="黑体" w:hAnsi="黑体" w:eastAsia="黑体" w:cs="黑体"/>
                <w:kern w:val="0"/>
                <w:sz w:val="21"/>
                <w:szCs w:val="21"/>
              </w:rPr>
              <w:t>属于四类过程性信息</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7.</w:t>
            </w:r>
            <w:r>
              <w:rPr>
                <w:rFonts w:hint="eastAsia" w:ascii="黑体" w:hAnsi="黑体" w:eastAsia="黑体" w:cs="黑体"/>
                <w:kern w:val="0"/>
                <w:sz w:val="21"/>
                <w:szCs w:val="21"/>
              </w:rPr>
              <w:t>属于行政执法案卷</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8.</w:t>
            </w:r>
            <w:r>
              <w:rPr>
                <w:rFonts w:hint="eastAsia" w:ascii="黑体" w:hAnsi="黑体" w:eastAsia="黑体" w:cs="黑体"/>
                <w:kern w:val="0"/>
                <w:sz w:val="21"/>
                <w:szCs w:val="21"/>
              </w:rPr>
              <w:t>属于行政查询事项</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spacing w:val="-6"/>
                <w:kern w:val="0"/>
                <w:sz w:val="21"/>
                <w:szCs w:val="21"/>
              </w:rPr>
              <w:t>（四）无法提供</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pacing w:val="-6"/>
                <w:sz w:val="21"/>
                <w:szCs w:val="21"/>
              </w:rPr>
            </w:pPr>
            <w:r>
              <w:rPr>
                <w:rFonts w:ascii="黑体" w:hAnsi="黑体" w:eastAsia="黑体" w:cs="黑体"/>
                <w:spacing w:val="-6"/>
                <w:kern w:val="0"/>
                <w:sz w:val="21"/>
                <w:szCs w:val="21"/>
              </w:rPr>
              <w:t>1.</w:t>
            </w:r>
            <w:r>
              <w:rPr>
                <w:rFonts w:hint="eastAsia" w:ascii="黑体" w:hAnsi="黑体" w:eastAsia="黑体" w:cs="黑体"/>
                <w:spacing w:val="-6"/>
                <w:kern w:val="0"/>
                <w:sz w:val="21"/>
                <w:szCs w:val="21"/>
              </w:rPr>
              <w:t>本机关不掌握相关政府信息</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spacing w:val="-6"/>
                <w:kern w:val="0"/>
                <w:sz w:val="21"/>
                <w:szCs w:val="21"/>
              </w:rPr>
              <w:t>2.</w:t>
            </w:r>
            <w:r>
              <w:rPr>
                <w:rFonts w:hint="eastAsia" w:ascii="黑体" w:hAnsi="黑体" w:eastAsia="黑体" w:cs="黑体"/>
                <w:spacing w:val="-6"/>
                <w:kern w:val="0"/>
                <w:sz w:val="21"/>
                <w:szCs w:val="21"/>
              </w:rPr>
              <w:t>没有现成信息需要另行制作</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3.</w:t>
            </w:r>
            <w:r>
              <w:rPr>
                <w:rFonts w:hint="eastAsia" w:ascii="黑体" w:hAnsi="黑体" w:eastAsia="黑体" w:cs="黑体"/>
                <w:kern w:val="0"/>
                <w:sz w:val="21"/>
                <w:szCs w:val="21"/>
              </w:rPr>
              <w:t>补正后申请内容仍不明确</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spacing w:val="-6"/>
                <w:kern w:val="0"/>
                <w:sz w:val="21"/>
                <w:szCs w:val="21"/>
              </w:rPr>
              <w:t>（五）不予处理</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1.</w:t>
            </w:r>
            <w:r>
              <w:rPr>
                <w:rFonts w:hint="eastAsia" w:ascii="黑体" w:hAnsi="黑体" w:eastAsia="黑体" w:cs="黑体"/>
                <w:kern w:val="0"/>
                <w:sz w:val="21"/>
                <w:szCs w:val="21"/>
              </w:rPr>
              <w:t>信访举报投诉类申请</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2.</w:t>
            </w:r>
            <w:r>
              <w:rPr>
                <w:rFonts w:hint="eastAsia" w:ascii="黑体" w:hAnsi="黑体" w:eastAsia="黑体" w:cs="黑体"/>
                <w:kern w:val="0"/>
                <w:sz w:val="21"/>
                <w:szCs w:val="21"/>
              </w:rPr>
              <w:t>重复申请</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3.</w:t>
            </w:r>
            <w:r>
              <w:rPr>
                <w:rFonts w:hint="eastAsia" w:ascii="黑体" w:hAnsi="黑体" w:eastAsia="黑体" w:cs="黑体"/>
                <w:kern w:val="0"/>
                <w:sz w:val="21"/>
                <w:szCs w:val="21"/>
              </w:rPr>
              <w:t>要求提供公开出版物</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4.</w:t>
            </w:r>
            <w:r>
              <w:rPr>
                <w:rFonts w:hint="eastAsia" w:ascii="黑体" w:hAnsi="黑体" w:eastAsia="黑体" w:cs="黑体"/>
                <w:kern w:val="0"/>
                <w:sz w:val="21"/>
                <w:szCs w:val="21"/>
              </w:rPr>
              <w:t>无正当理由大量反复申请</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ascii="黑体" w:hAnsi="黑体" w:eastAsia="黑体" w:cs="黑体"/>
                <w:kern w:val="0"/>
                <w:sz w:val="21"/>
                <w:szCs w:val="21"/>
              </w:rPr>
              <w:t>5.</w:t>
            </w:r>
            <w:r>
              <w:rPr>
                <w:rFonts w:hint="eastAsia" w:ascii="黑体" w:hAnsi="黑体" w:eastAsia="黑体" w:cs="黑体"/>
                <w:kern w:val="0"/>
                <w:sz w:val="21"/>
                <w:szCs w:val="21"/>
              </w:rPr>
              <w:t>要求行政机关确认或重新出具已获取信息</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（六）其他处理</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rPr>
                <w:rFonts w:ascii="黑体" w:hAnsi="黑体" w:eastAsia="黑体" w:cs="Times New Roman"/>
                <w:sz w:val="21"/>
                <w:szCs w:val="21"/>
              </w:rPr>
            </w:pPr>
          </w:p>
        </w:tc>
        <w:tc>
          <w:tcPr>
            <w:tcW w:w="0" w:type="auto"/>
            <w:gridSpan w:val="2"/>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（七）总计</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left"/>
              <w:rPr>
                <w:rFonts w:ascii="黑体" w:hAnsi="黑体" w:eastAsia="黑体" w:cs="Times New Roman"/>
                <w:sz w:val="21"/>
                <w:szCs w:val="21"/>
              </w:rPr>
            </w:pPr>
            <w:r>
              <w:rPr>
                <w:rFonts w:hint="eastAsia" w:ascii="黑体" w:hAnsi="黑体" w:eastAsia="黑体" w:cs="黑体"/>
                <w:kern w:val="0"/>
                <w:sz w:val="21"/>
                <w:szCs w:val="21"/>
              </w:rPr>
              <w:t>四、结转下年度继续办理</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ascii="黑体" w:hAnsi="黑体" w:eastAsia="黑体" w:cs="Times New Roman"/>
                <w:sz w:val="21"/>
                <w:szCs w:val="21"/>
              </w:rPr>
            </w:pPr>
            <w:r>
              <w:rPr>
                <w:rFonts w:hint="eastAsia" w:eastAsia="黑体" w:cs="Times New Roman"/>
                <w:kern w:val="0"/>
                <w:sz w:val="21"/>
                <w:szCs w:val="21"/>
                <w:lang w:val="en-US" w:eastAsia="zh-CN"/>
              </w:rPr>
              <w:t>0</w:t>
            </w:r>
            <w:r>
              <w:rPr>
                <w:rFonts w:eastAsia="黑体" w:cs="Times New Roman"/>
                <w:kern w:val="0"/>
                <w:sz w:val="21"/>
                <w:szCs w:val="21"/>
              </w:rPr>
              <w:t> </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eastAsia="黑体" w:cs="Times New Roman"/>
                <w:kern w:val="0"/>
                <w:sz w:val="21"/>
                <w:szCs w:val="21"/>
              </w:rPr>
              <w:t> </w:t>
            </w:r>
            <w:r>
              <w:rPr>
                <w:rFonts w:hint="eastAsia" w:eastAsia="黑体" w:cs="Times New Roman"/>
                <w:kern w:val="0"/>
                <w:sz w:val="21"/>
                <w:szCs w:val="21"/>
                <w:lang w:val="en-US" w:eastAsia="zh-CN"/>
              </w:rPr>
              <w:t>0</w:t>
            </w:r>
          </w:p>
        </w:tc>
        <w:tc>
          <w:tcPr>
            <w:tcW w:w="518"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380" w:lineRule="exact"/>
              <w:jc w:val="center"/>
              <w:rPr>
                <w:rFonts w:hint="eastAsia" w:ascii="黑体" w:hAnsi="黑体" w:eastAsia="黑体" w:cs="Times New Roman"/>
                <w:sz w:val="21"/>
                <w:szCs w:val="21"/>
                <w:lang w:val="en-US" w:eastAsia="zh-CN"/>
              </w:rPr>
            </w:pPr>
            <w:r>
              <w:rPr>
                <w:rFonts w:hint="eastAsia" w:ascii="黑体" w:hAnsi="黑体" w:eastAsia="黑体" w:cs="Times New Roman"/>
                <w:sz w:val="21"/>
                <w:szCs w:val="21"/>
                <w:lang w:val="en-US" w:eastAsia="zh-CN"/>
              </w:rPr>
              <w:t>0</w:t>
            </w:r>
          </w:p>
        </w:tc>
      </w:tr>
    </w:tbl>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p>
    <w:p>
      <w:pPr>
        <w:pStyle w:val="3"/>
        <w:widowControl/>
        <w:shd w:val="clear" w:color="auto" w:fill="FFFFFF"/>
        <w:adjustRightInd w:val="0"/>
        <w:snapToGrid w:val="0"/>
        <w:spacing w:before="0" w:beforeAutospacing="0" w:after="0" w:afterAutospacing="0" w:line="547" w:lineRule="exact"/>
        <w:ind w:firstLine="42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四、政府信息公开行政复议、行政诉讼情况</w:t>
      </w:r>
    </w:p>
    <w:tbl>
      <w:tblPr>
        <w:tblStyle w:val="4"/>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7"/>
        <w:gridCol w:w="618"/>
        <w:gridCol w:w="586"/>
        <w:gridCol w:w="586"/>
        <w:gridCol w:w="479"/>
        <w:gridCol w:w="586"/>
        <w:gridCol w:w="586"/>
        <w:gridCol w:w="586"/>
        <w:gridCol w:w="586"/>
        <w:gridCol w:w="479"/>
        <w:gridCol w:w="586"/>
        <w:gridCol w:w="581"/>
        <w:gridCol w:w="581"/>
        <w:gridCol w:w="586"/>
        <w:gridCol w:w="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行政复议</w:t>
            </w:r>
          </w:p>
        </w:tc>
        <w:tc>
          <w:tcPr>
            <w:tcW w:w="0" w:type="auto"/>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结果维持</w:t>
            </w:r>
          </w:p>
        </w:tc>
        <w:tc>
          <w:tcPr>
            <w:tcW w:w="617" w:type="dxa"/>
            <w:vMerge w:val="restart"/>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结果纠正</w:t>
            </w:r>
          </w:p>
        </w:tc>
        <w:tc>
          <w:tcPr>
            <w:tcW w:w="0" w:type="auto"/>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其他结果</w:t>
            </w:r>
          </w:p>
        </w:tc>
        <w:tc>
          <w:tcPr>
            <w:tcW w:w="0" w:type="auto"/>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尚未审结</w:t>
            </w:r>
          </w:p>
        </w:tc>
        <w:tc>
          <w:tcPr>
            <w:tcW w:w="0" w:type="auto"/>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总计</w:t>
            </w:r>
          </w:p>
        </w:tc>
        <w:tc>
          <w:tcPr>
            <w:tcW w:w="0" w:type="auto"/>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未经复议直接起诉</w:t>
            </w:r>
          </w:p>
        </w:tc>
        <w:tc>
          <w:tcPr>
            <w:tcW w:w="0" w:type="auto"/>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560" w:lineRule="exact"/>
              <w:rPr>
                <w:rFonts w:ascii="黑体" w:hAnsi="黑体" w:eastAsia="黑体" w:cs="Times New Roman"/>
                <w:sz w:val="21"/>
                <w:szCs w:val="21"/>
              </w:rPr>
            </w:pPr>
          </w:p>
        </w:tc>
        <w:tc>
          <w:tcPr>
            <w:tcW w:w="617" w:type="dxa"/>
            <w:vMerge w:val="continue"/>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rPr>
                <w:rFonts w:ascii="黑体" w:hAnsi="黑体" w:eastAsia="黑体" w:cs="Times New Roman"/>
                <w:sz w:val="21"/>
                <w:szCs w:val="21"/>
              </w:rPr>
            </w:pPr>
          </w:p>
        </w:tc>
        <w:tc>
          <w:tcPr>
            <w:tcW w:w="0" w:type="auto"/>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rPr>
                <w:rFonts w:ascii="黑体" w:hAnsi="黑体" w:eastAsia="黑体" w:cs="Times New Roman"/>
                <w:sz w:val="21"/>
                <w:szCs w:val="21"/>
              </w:rPr>
            </w:pPr>
          </w:p>
        </w:tc>
        <w:tc>
          <w:tcPr>
            <w:tcW w:w="0" w:type="auto"/>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rPr>
                <w:rFonts w:ascii="黑体" w:hAnsi="黑体" w:eastAsia="黑体" w:cs="Times New Roman"/>
                <w:sz w:val="21"/>
                <w:szCs w:val="21"/>
              </w:rPr>
            </w:pPr>
          </w:p>
        </w:tc>
        <w:tc>
          <w:tcPr>
            <w:tcW w:w="0" w:type="auto"/>
            <w:vMerge w:val="continue"/>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rPr>
                <w:rFonts w:ascii="黑体" w:hAnsi="黑体" w:eastAsia="黑体" w:cs="Times New Roman"/>
                <w:sz w:val="21"/>
                <w:szCs w:val="21"/>
              </w:rPr>
            </w:pP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结果维持</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结果纠正</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其他结果</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尚未审结</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color w:val="000000"/>
                <w:kern w:val="0"/>
                <w:sz w:val="21"/>
                <w:szCs w:val="21"/>
              </w:rPr>
              <w:t>总计</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结果维持</w:t>
            </w:r>
          </w:p>
        </w:tc>
        <w:tc>
          <w:tcPr>
            <w:tcW w:w="5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结果纠正</w:t>
            </w:r>
          </w:p>
        </w:tc>
        <w:tc>
          <w:tcPr>
            <w:tcW w:w="581" w:type="dxa"/>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color w:val="000000"/>
                <w:kern w:val="0"/>
                <w:sz w:val="21"/>
                <w:szCs w:val="21"/>
              </w:rPr>
              <w:t>其他结果</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kern w:val="0"/>
                <w:sz w:val="21"/>
                <w:szCs w:val="21"/>
              </w:rPr>
              <w:t>尚未审结</w:t>
            </w:r>
          </w:p>
        </w:tc>
        <w:tc>
          <w:tcPr>
            <w:tcW w:w="0" w:type="auto"/>
            <w:tcBorders>
              <w:top w:val="single" w:color="auto" w:sz="8" w:space="0"/>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1"/>
                <w:szCs w:val="21"/>
              </w:rPr>
            </w:pPr>
            <w:r>
              <w:rPr>
                <w:rFonts w:hint="eastAsia" w:ascii="黑体" w:hAnsi="黑体" w:eastAsia="黑体" w:cs="黑体"/>
                <w:color w:val="000000"/>
                <w:kern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tcBorders>
              <w:top w:val="nil"/>
              <w:left w:val="single" w:color="auto" w:sz="8" w:space="0"/>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eastAsia="黑体" w:cs="Times New Roman"/>
                <w:kern w:val="0"/>
                <w:sz w:val="24"/>
                <w:szCs w:val="24"/>
              </w:rPr>
              <w:t> </w:t>
            </w:r>
            <w:r>
              <w:rPr>
                <w:rFonts w:hint="eastAsia" w:eastAsia="黑体" w:cs="Times New Roman"/>
                <w:kern w:val="0"/>
                <w:sz w:val="24"/>
                <w:szCs w:val="24"/>
                <w:lang w:val="en-US" w:eastAsia="zh-CN"/>
              </w:rPr>
              <w:t>0</w:t>
            </w:r>
          </w:p>
        </w:tc>
        <w:tc>
          <w:tcPr>
            <w:tcW w:w="617"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eastAsia="黑体" w:cs="Times New Roman"/>
                <w:kern w:val="0"/>
                <w:sz w:val="24"/>
                <w:szCs w:val="24"/>
              </w:rPr>
              <w:t> </w:t>
            </w:r>
            <w:r>
              <w:rPr>
                <w:rFonts w:hint="eastAsia"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eastAsia="黑体" w:cs="Times New Roman"/>
                <w:kern w:val="0"/>
                <w:sz w:val="24"/>
                <w:szCs w:val="24"/>
              </w:rPr>
              <w:t> </w:t>
            </w:r>
            <w:r>
              <w:rPr>
                <w:rFonts w:hint="eastAsia"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eastAsia="黑体" w:cs="Times New Roman"/>
                <w:kern w:val="0"/>
                <w:sz w:val="24"/>
                <w:szCs w:val="24"/>
              </w:rPr>
              <w:t> </w:t>
            </w:r>
            <w:r>
              <w:rPr>
                <w:rFonts w:hint="eastAsia"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eastAsia="黑体" w:cs="Times New Roman"/>
                <w:kern w:val="0"/>
                <w:sz w:val="24"/>
                <w:szCs w:val="24"/>
              </w:rPr>
              <w:t> </w:t>
            </w:r>
            <w:r>
              <w:rPr>
                <w:rFonts w:hint="eastAsia"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黑体" w:hAnsi="黑体" w:eastAsia="黑体" w:cs="Times New Roman"/>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color w:val="000000"/>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4"/>
                <w:szCs w:val="24"/>
              </w:rPr>
            </w:pPr>
            <w:r>
              <w:rPr>
                <w:rFonts w:hint="eastAsia" w:ascii="宋体" w:hAnsi="宋体" w:eastAsia="黑体" w:cs="Times New Roman"/>
                <w:kern w:val="0"/>
                <w:sz w:val="24"/>
                <w:szCs w:val="24"/>
                <w:lang w:val="en-US" w:eastAsia="zh-CN"/>
              </w:rPr>
              <w:t>0</w:t>
            </w:r>
          </w:p>
        </w:tc>
        <w:tc>
          <w:tcPr>
            <w:tcW w:w="58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kern w:val="0"/>
                <w:sz w:val="24"/>
                <w:szCs w:val="24"/>
                <w:lang w:val="en-US" w:eastAsia="zh-CN"/>
              </w:rPr>
              <w:t>0</w:t>
            </w:r>
          </w:p>
        </w:tc>
        <w:tc>
          <w:tcPr>
            <w:tcW w:w="581" w:type="dxa"/>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宋体" w:hAnsi="宋体" w:eastAsia="黑体" w:cs="Times New Roman"/>
                <w:color w:val="000000"/>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ascii="黑体" w:hAnsi="黑体" w:eastAsia="黑体" w:cs="Times New Roman"/>
                <w:sz w:val="24"/>
                <w:szCs w:val="24"/>
              </w:rPr>
            </w:pPr>
            <w:r>
              <w:rPr>
                <w:rFonts w:hint="eastAsia" w:ascii="宋体" w:hAnsi="宋体" w:eastAsia="黑体" w:cs="Times New Roman"/>
                <w:kern w:val="0"/>
                <w:sz w:val="24"/>
                <w:szCs w:val="24"/>
                <w:lang w:val="en-US" w:eastAsia="zh-CN"/>
              </w:rPr>
              <w:t>0</w:t>
            </w:r>
          </w:p>
        </w:tc>
        <w:tc>
          <w:tcPr>
            <w:tcW w:w="0" w:type="auto"/>
            <w:tcBorders>
              <w:top w:val="nil"/>
              <w:left w:val="nil"/>
              <w:bottom w:val="single" w:color="auto" w:sz="8" w:space="0"/>
              <w:right w:val="single" w:color="auto" w:sz="8" w:space="0"/>
            </w:tcBorders>
            <w:tcMar>
              <w:left w:w="108" w:type="dxa"/>
              <w:right w:w="108" w:type="dxa"/>
            </w:tcMar>
            <w:vAlign w:val="center"/>
          </w:tcPr>
          <w:p>
            <w:pPr>
              <w:widowControl/>
              <w:adjustRightInd w:val="0"/>
              <w:snapToGrid w:val="0"/>
              <w:spacing w:line="560" w:lineRule="exact"/>
              <w:jc w:val="center"/>
              <w:rPr>
                <w:rFonts w:hint="eastAsia" w:ascii="黑体" w:hAnsi="黑体" w:eastAsia="黑体" w:cs="Times New Roman"/>
                <w:sz w:val="24"/>
                <w:szCs w:val="24"/>
                <w:lang w:val="en-US" w:eastAsia="zh-CN"/>
              </w:rPr>
            </w:pPr>
            <w:r>
              <w:rPr>
                <w:rFonts w:hint="eastAsia" w:ascii="黑体" w:hAnsi="黑体" w:eastAsia="黑体" w:cs="Times New Roman"/>
                <w:sz w:val="24"/>
                <w:szCs w:val="24"/>
                <w:lang w:val="en-US" w:eastAsia="zh-CN"/>
              </w:rPr>
              <w:t>0</w:t>
            </w:r>
          </w:p>
        </w:tc>
      </w:tr>
    </w:tbl>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五、存在的主要问题及改进情况</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（一）工作中存在的主要问题和困难。</w:t>
      </w:r>
      <w:r>
        <w:rPr>
          <w:rFonts w:hint="eastAsia" w:ascii="仿宋_GB2312" w:hAnsi="仿宋_GB2312" w:eastAsia="仿宋_GB2312" w:cs="仿宋_GB2312"/>
          <w:sz w:val="32"/>
          <w:szCs w:val="32"/>
          <w:lang w:eastAsia="zh-CN"/>
        </w:rPr>
        <w:t>在业务部门的指导下，我局政务公开工作取得了一定成效，通过自查自检，主要存在公开范围仍然较小，仅局限于上级要求主动公开的内容，政务宣传工作还不到位，群众参与和监督的力度不够，对政务信息的覆盖面和知晓率还很低，</w:t>
      </w:r>
      <w:r>
        <w:rPr>
          <w:rFonts w:hint="eastAsia" w:ascii="仿宋_GB2312" w:hAnsi="仿宋_GB2312" w:eastAsia="仿宋_GB2312" w:cs="仿宋_GB2312"/>
          <w:sz w:val="32"/>
          <w:szCs w:val="32"/>
        </w:rPr>
        <w:t>主动公开的政府信息与公众的需求还存在差距，</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人员业务水平还需进一步提高。</w:t>
      </w:r>
      <w:r>
        <w:rPr>
          <w:rFonts w:hint="eastAsia" w:ascii="仿宋_GB2312" w:hAnsi="仿宋_GB2312" w:eastAsia="仿宋_GB2312" w:cs="仿宋_GB2312"/>
          <w:sz w:val="32"/>
          <w:szCs w:val="32"/>
          <w:lang w:eastAsia="zh-CN"/>
        </w:rPr>
        <w:t>政务公开机制不够完善，信息公开的实效性有待进一步提高，公开形式和内容比较单一，需要进一步完善。</w:t>
      </w:r>
    </w:p>
    <w:p>
      <w:pPr>
        <w:spacing w:line="560" w:lineRule="exact"/>
        <w:ind w:firstLine="643" w:firstLineChars="200"/>
        <w:rPr>
          <w:rFonts w:hint="eastAsia" w:ascii="黑体" w:hAnsi="黑体" w:eastAsia="黑体" w:cs="黑体"/>
          <w:color w:val="333333"/>
          <w:sz w:val="32"/>
          <w:szCs w:val="32"/>
          <w:shd w:val="clear" w:color="auto" w:fill="FFFFFF"/>
        </w:rPr>
      </w:pPr>
      <w:r>
        <w:rPr>
          <w:rFonts w:hint="eastAsia" w:ascii="仿宋_GB2312" w:hAnsi="仿宋_GB2312" w:eastAsia="仿宋_GB2312" w:cs="仿宋_GB2312"/>
          <w:b/>
          <w:bCs/>
          <w:kern w:val="2"/>
          <w:sz w:val="32"/>
          <w:szCs w:val="32"/>
          <w:lang w:val="en-US" w:eastAsia="zh-CN" w:bidi="ar-SA"/>
        </w:rPr>
        <w:t>（二）具体解决办法和改进措施。</w:t>
      </w:r>
      <w:r>
        <w:rPr>
          <w:rFonts w:hint="eastAsia" w:ascii="仿宋_GB2312" w:hAnsi="宋体" w:eastAsia="仿宋_GB2312" w:cs="仿宋_GB2312"/>
          <w:sz w:val="32"/>
          <w:szCs w:val="32"/>
        </w:rPr>
        <w:t>针对上述问题</w:t>
      </w:r>
      <w:r>
        <w:rPr>
          <w:rFonts w:hint="eastAsia" w:ascii="仿宋_GB2312" w:hAnsi="宋体" w:eastAsia="仿宋_GB2312" w:cs="仿宋_GB2312"/>
          <w:sz w:val="32"/>
          <w:szCs w:val="32"/>
          <w:lang w:val="en-US" w:eastAsia="zh-CN"/>
        </w:rPr>
        <w:t>和困难</w:t>
      </w:r>
      <w:r>
        <w:rPr>
          <w:rFonts w:hint="eastAsia" w:ascii="仿宋_GB2312" w:hAnsi="宋体" w:eastAsia="仿宋_GB2312" w:cs="仿宋_GB2312"/>
          <w:sz w:val="32"/>
          <w:szCs w:val="32"/>
        </w:rPr>
        <w:t>，我局将进一步贯彻落实《条例》，提高政治站位，落实主体责任。加强政府信息公开的宣传和业务培训，提高工作人员信息公开的意识和水平，加大政府信息公开力度，增强信息公开效果，规范网上服务事项，优化网上服务流程，创新网上服务模式，拓展网上服务渠道，确保政府信息公开准确、及时、规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rPr>
        <w:t>进一步建立健全制度，确保政务公开工作严肃认真和有效进行</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切实</w:t>
      </w:r>
      <w:r>
        <w:rPr>
          <w:rFonts w:hint="eastAsia" w:ascii="仿宋_GB2312" w:hAnsi="宋体" w:eastAsia="仿宋_GB2312" w:cs="仿宋_GB2312"/>
          <w:sz w:val="32"/>
          <w:szCs w:val="32"/>
        </w:rPr>
        <w:t>提升</w:t>
      </w:r>
      <w:r>
        <w:rPr>
          <w:rFonts w:hint="eastAsia" w:ascii="仿宋_GB2312" w:hAnsi="宋体" w:eastAsia="仿宋_GB2312" w:cs="仿宋_GB2312"/>
          <w:sz w:val="32"/>
          <w:szCs w:val="32"/>
          <w:lang w:val="en-US" w:eastAsia="zh-CN"/>
        </w:rPr>
        <w:t>我局政务</w:t>
      </w:r>
      <w:r>
        <w:rPr>
          <w:rFonts w:hint="eastAsia" w:ascii="仿宋_GB2312" w:hAnsi="宋体" w:eastAsia="仿宋_GB2312" w:cs="仿宋_GB2312"/>
          <w:sz w:val="32"/>
          <w:szCs w:val="32"/>
        </w:rPr>
        <w:t>信息公开整体工作水平。</w:t>
      </w:r>
    </w:p>
    <w:p>
      <w:pPr>
        <w:pStyle w:val="3"/>
        <w:widowControl/>
        <w:shd w:val="clear" w:color="auto" w:fill="FFFFFF"/>
        <w:adjustRightInd w:val="0"/>
        <w:snapToGrid w:val="0"/>
        <w:spacing w:before="0" w:beforeAutospacing="0" w:after="0" w:afterAutospacing="0" w:line="547" w:lineRule="exact"/>
        <w:ind w:firstLine="640" w:firstLineChars="200"/>
        <w:jc w:val="both"/>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六、其他需要报告的事项</w:t>
      </w:r>
    </w:p>
    <w:p>
      <w:pPr>
        <w:spacing w:line="560" w:lineRule="exact"/>
        <w:rPr>
          <w:rFonts w:ascii="宋体" w:cs="宋体"/>
          <w:sz w:val="28"/>
          <w:szCs w:val="28"/>
        </w:rPr>
      </w:pPr>
      <w:r>
        <w:rPr>
          <w:rFonts w:hint="eastAsia" w:ascii="仿宋_GB2312" w:hAnsi="宋体" w:eastAsia="仿宋_GB2312" w:cs="仿宋_GB2312"/>
          <w:sz w:val="32"/>
          <w:szCs w:val="32"/>
        </w:rPr>
        <w:t>　</w:t>
      </w:r>
      <w:r>
        <w:rPr>
          <w:rFonts w:hint="eastAsia" w:ascii="仿宋_GB2312" w:hAnsi="宋体" w:eastAsia="仿宋_GB2312" w:cs="仿宋_GB2312"/>
          <w:sz w:val="32"/>
          <w:szCs w:val="32"/>
          <w:lang w:val="en-US" w:eastAsia="zh-CN"/>
        </w:rPr>
        <w:t xml:space="preserve">  </w:t>
      </w:r>
      <w:r>
        <w:rPr>
          <w:rFonts w:hint="eastAsia" w:ascii="仿宋_GB2312" w:hAnsi="宋体" w:eastAsia="仿宋_GB2312" w:cs="仿宋_GB2312"/>
          <w:sz w:val="32"/>
          <w:szCs w:val="32"/>
        </w:rPr>
        <w:t>暂无需要说明事项。</w:t>
      </w:r>
    </w:p>
    <w:p>
      <w:pPr>
        <w:rPr>
          <w:rFonts w:ascii="宋体" w:hAnsi="宋体" w:cs="宋体"/>
          <w:sz w:val="28"/>
          <w:szCs w:val="28"/>
        </w:rPr>
      </w:pPr>
      <w:r>
        <w:rPr>
          <w:rFonts w:ascii="宋体" w:hAnsi="宋体" w:cs="宋体"/>
          <w:sz w:val="28"/>
          <w:szCs w:val="28"/>
        </w:rPr>
        <w:t xml:space="preserve">  </w:t>
      </w:r>
    </w:p>
    <w:p>
      <w:pPr>
        <w:rPr>
          <w:rFonts w:ascii="宋体" w:hAnsi="宋体" w:cs="宋体"/>
          <w:sz w:val="28"/>
          <w:szCs w:val="28"/>
        </w:rPr>
      </w:pPr>
    </w:p>
    <w:p>
      <w:pPr>
        <w:rPr>
          <w:rFonts w:ascii="宋体" w:hAnsi="宋体" w:cs="宋体"/>
          <w:sz w:val="28"/>
          <w:szCs w:val="28"/>
        </w:rPr>
      </w:pPr>
    </w:p>
    <w:p>
      <w:pPr>
        <w:ind w:firstLine="5120" w:firstLineChars="1600"/>
        <w:rPr>
          <w:rFonts w:hint="eastAsia" w:ascii="仿宋_GB2312" w:hAnsi="宋体" w:eastAsia="宋体" w:cs="Times New Roman"/>
          <w:sz w:val="32"/>
          <w:szCs w:val="32"/>
          <w:lang w:eastAsia="zh-CN"/>
        </w:rPr>
      </w:pPr>
      <w:r>
        <w:rPr>
          <w:rFonts w:hint="eastAsia" w:ascii="仿宋_GB2312" w:hAnsi="宋体" w:eastAsia="仿宋_GB2312" w:cs="仿宋_GB2312"/>
          <w:sz w:val="32"/>
          <w:szCs w:val="32"/>
          <w:lang w:eastAsia="zh-CN"/>
        </w:rPr>
        <w:t>山丹县商务局</w:t>
      </w:r>
    </w:p>
    <w:p>
      <w:pPr>
        <w:rPr>
          <w:rFonts w:ascii="仿宋_GB2312" w:hAnsi="宋体" w:eastAsia="仿宋_GB2312" w:cs="Times New Roman"/>
          <w:sz w:val="32"/>
          <w:szCs w:val="32"/>
        </w:rPr>
      </w:pPr>
      <w:r>
        <w:rPr>
          <w:rFonts w:hint="eastAsia" w:ascii="仿宋_GB2312" w:hAnsi="宋体" w:eastAsia="仿宋_GB2312" w:cs="仿宋_GB2312"/>
          <w:sz w:val="32"/>
          <w:szCs w:val="32"/>
        </w:rPr>
        <w:t>　　　　　　　　　　　　　　　</w:t>
      </w: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20</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10</w:t>
      </w:r>
      <w:r>
        <w:rPr>
          <w:rFonts w:hint="eastAsia" w:ascii="仿宋_GB2312" w:hAnsi="宋体" w:eastAsia="仿宋_GB2312" w:cs="仿宋_GB2312"/>
          <w:sz w:val="32"/>
          <w:szCs w:val="32"/>
        </w:rPr>
        <w:t>日</w:t>
      </w:r>
    </w:p>
    <w:p>
      <w:pPr>
        <w:adjustRightInd w:val="0"/>
        <w:snapToGrid w:val="0"/>
        <w:spacing w:line="560" w:lineRule="exact"/>
        <w:ind w:firstLine="640" w:firstLineChars="200"/>
        <w:rPr>
          <w:rFonts w:ascii="仿宋_GB2312" w:hAnsi="仿宋_GB2312" w:eastAsia="仿宋_GB2312" w:cs="Times New Roman"/>
        </w:rPr>
      </w:pPr>
    </w:p>
    <w:p>
      <w:pPr>
        <w:rPr>
          <w:rFonts w:cs="Times New Roman"/>
        </w:rPr>
      </w:pPr>
    </w:p>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仿宋_GB2312" w:eastAsia="仿宋_GB2312"/>
        <w:sz w:val="28"/>
        <w:szCs w:val="28"/>
      </w:rPr>
    </w:pPr>
    <w:r>
      <w:rPr>
        <w:rStyle w:val="6"/>
        <w:rFonts w:ascii="仿宋_GB2312" w:eastAsia="仿宋_GB2312"/>
        <w:sz w:val="28"/>
        <w:szCs w:val="28"/>
      </w:rPr>
      <w:t>—</w:t>
    </w:r>
    <w:r>
      <w:rPr>
        <w:rStyle w:val="6"/>
        <w:rFonts w:ascii="仿宋_GB2312" w:eastAsia="仿宋_GB2312" w:cs="仿宋_GB2312"/>
        <w:sz w:val="28"/>
        <w:szCs w:val="28"/>
      </w:rPr>
      <w:fldChar w:fldCharType="begin"/>
    </w:r>
    <w:r>
      <w:rPr>
        <w:rStyle w:val="6"/>
        <w:rFonts w:ascii="仿宋_GB2312" w:eastAsia="仿宋_GB2312" w:cs="仿宋_GB2312"/>
        <w:sz w:val="28"/>
        <w:szCs w:val="28"/>
      </w:rPr>
      <w:instrText xml:space="preserve">PAGE  </w:instrText>
    </w:r>
    <w:r>
      <w:rPr>
        <w:rStyle w:val="6"/>
        <w:rFonts w:ascii="仿宋_GB2312" w:eastAsia="仿宋_GB2312" w:cs="仿宋_GB2312"/>
        <w:sz w:val="28"/>
        <w:szCs w:val="28"/>
      </w:rPr>
      <w:fldChar w:fldCharType="separate"/>
    </w:r>
    <w:r>
      <w:rPr>
        <w:rStyle w:val="6"/>
        <w:rFonts w:ascii="仿宋_GB2312" w:eastAsia="仿宋_GB2312" w:cs="仿宋_GB2312"/>
        <w:sz w:val="28"/>
        <w:szCs w:val="28"/>
      </w:rPr>
      <w:t>10</w:t>
    </w:r>
    <w:r>
      <w:rPr>
        <w:rStyle w:val="6"/>
        <w:rFonts w:ascii="仿宋_GB2312" w:eastAsia="仿宋_GB2312" w:cs="仿宋_GB2312"/>
        <w:sz w:val="28"/>
        <w:szCs w:val="28"/>
      </w:rPr>
      <w:fldChar w:fldCharType="end"/>
    </w:r>
    <w:r>
      <w:rPr>
        <w:rStyle w:val="6"/>
        <w:rFonts w:ascii="仿宋_GB2312" w:eastAsia="仿宋_GB2312"/>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3D"/>
    <w:rsid w:val="000B01B6"/>
    <w:rsid w:val="00136ABA"/>
    <w:rsid w:val="00194AEB"/>
    <w:rsid w:val="001D48E9"/>
    <w:rsid w:val="0023047D"/>
    <w:rsid w:val="00281071"/>
    <w:rsid w:val="002D2DB4"/>
    <w:rsid w:val="002D7B0B"/>
    <w:rsid w:val="00351AB6"/>
    <w:rsid w:val="00352AC9"/>
    <w:rsid w:val="00385569"/>
    <w:rsid w:val="0047001B"/>
    <w:rsid w:val="004E66C6"/>
    <w:rsid w:val="00501590"/>
    <w:rsid w:val="00537F5B"/>
    <w:rsid w:val="0063225A"/>
    <w:rsid w:val="00637156"/>
    <w:rsid w:val="00652E93"/>
    <w:rsid w:val="00661575"/>
    <w:rsid w:val="006831BD"/>
    <w:rsid w:val="006A5435"/>
    <w:rsid w:val="00731968"/>
    <w:rsid w:val="007402BD"/>
    <w:rsid w:val="007703BA"/>
    <w:rsid w:val="007A1914"/>
    <w:rsid w:val="0084069C"/>
    <w:rsid w:val="00890BF8"/>
    <w:rsid w:val="00911ECF"/>
    <w:rsid w:val="00961684"/>
    <w:rsid w:val="00973A3C"/>
    <w:rsid w:val="00AA45CC"/>
    <w:rsid w:val="00AA6F0C"/>
    <w:rsid w:val="00AD2A83"/>
    <w:rsid w:val="00AD7FDF"/>
    <w:rsid w:val="00AE48C9"/>
    <w:rsid w:val="00B34498"/>
    <w:rsid w:val="00B417F4"/>
    <w:rsid w:val="00BF143D"/>
    <w:rsid w:val="00BF41E0"/>
    <w:rsid w:val="00C73195"/>
    <w:rsid w:val="00D30F33"/>
    <w:rsid w:val="00E15246"/>
    <w:rsid w:val="00E269F3"/>
    <w:rsid w:val="00E3597F"/>
    <w:rsid w:val="00E5018B"/>
    <w:rsid w:val="00E83308"/>
    <w:rsid w:val="00F211E7"/>
    <w:rsid w:val="00F6128A"/>
    <w:rsid w:val="00FE6C82"/>
    <w:rsid w:val="032614D2"/>
    <w:rsid w:val="11482613"/>
    <w:rsid w:val="11EE74E5"/>
    <w:rsid w:val="1C87346B"/>
    <w:rsid w:val="1CEA2EBE"/>
    <w:rsid w:val="1DC02D31"/>
    <w:rsid w:val="1F83124C"/>
    <w:rsid w:val="2001482E"/>
    <w:rsid w:val="284F405F"/>
    <w:rsid w:val="2E3C75B4"/>
    <w:rsid w:val="306538C2"/>
    <w:rsid w:val="36016662"/>
    <w:rsid w:val="3894060D"/>
    <w:rsid w:val="38FA1718"/>
    <w:rsid w:val="3F9714BF"/>
    <w:rsid w:val="40291060"/>
    <w:rsid w:val="42A772D2"/>
    <w:rsid w:val="4906276E"/>
    <w:rsid w:val="545C4992"/>
    <w:rsid w:val="554D4D9A"/>
    <w:rsid w:val="642553E0"/>
    <w:rsid w:val="6BCA777B"/>
    <w:rsid w:val="6CD37F89"/>
    <w:rsid w:val="704E04C1"/>
    <w:rsid w:val="772D128A"/>
    <w:rsid w:val="789B5B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Normal (Web)"/>
    <w:basedOn w:val="1"/>
    <w:qFormat/>
    <w:uiPriority w:val="99"/>
    <w:pPr>
      <w:spacing w:before="100" w:beforeAutospacing="1" w:after="100" w:afterAutospacing="1"/>
      <w:jc w:val="left"/>
    </w:pPr>
    <w:rPr>
      <w:kern w:val="0"/>
      <w:sz w:val="24"/>
      <w:szCs w:val="24"/>
    </w:rPr>
  </w:style>
  <w:style w:type="character" w:styleId="6">
    <w:name w:val="page number"/>
    <w:basedOn w:val="5"/>
    <w:qFormat/>
    <w:uiPriority w:val="99"/>
    <w:rPr>
      <w:rFonts w:ascii="Times New Roman" w:hAnsi="Times New Roman" w:eastAsia="宋体" w:cs="Times New Roman"/>
    </w:rPr>
  </w:style>
  <w:style w:type="character" w:styleId="7">
    <w:name w:val="Hyperlink"/>
    <w:basedOn w:val="5"/>
    <w:qFormat/>
    <w:uiPriority w:val="99"/>
    <w:rPr>
      <w:rFonts w:ascii="Times New Roman" w:hAnsi="Times New Roman" w:eastAsia="宋体" w:cs="Times New Roman"/>
      <w:color w:val="0000FF"/>
      <w:u w:val="single"/>
    </w:rPr>
  </w:style>
  <w:style w:type="character" w:customStyle="1" w:styleId="8">
    <w:name w:val="Footer Char"/>
    <w:basedOn w:val="5"/>
    <w:link w:val="2"/>
    <w:qFormat/>
    <w:locked/>
    <w:uiPriority w:val="99"/>
    <w:rPr>
      <w:rFonts w:ascii="Times New Roman" w:hAnsi="Times New Roman" w:eastAsia="宋体" w:cs="Times New Roman"/>
      <w:kern w:val="2"/>
      <w:sz w:val="18"/>
      <w:szCs w:val="18"/>
      <w:lang w:val="en-US" w:eastAsia="zh-CN"/>
    </w:rPr>
  </w:style>
  <w:style w:type="paragraph" w:customStyle="1" w:styleId="9">
    <w:name w:val="p0"/>
    <w:basedOn w:val="1"/>
    <w:qFormat/>
    <w:uiPriority w:val="99"/>
    <w:pPr>
      <w:widowControl/>
      <w:spacing w:line="365" w:lineRule="atLeast"/>
      <w:ind w:left="1"/>
    </w:pPr>
    <w:rPr>
      <w:rFonts w:ascii="Times New Roman" w:hAnsi="Times New Roman"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WIN</Company>
  <Pages>10</Pages>
  <Words>756</Words>
  <Characters>4314</Characters>
  <Lines>0</Lines>
  <Paragraphs>0</Paragraphs>
  <TotalTime>21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2020-12-21T07:01:00Z</dcterms:created>
  <dc:creator>♚碎碎念♢</dc:creator>
  <cp:lastModifiedBy>山丹县商务局</cp:lastModifiedBy>
  <cp:lastPrinted>2021-04-28T07:49:00Z</cp:lastPrinted>
  <dcterms:modified xsi:type="dcterms:W3CDTF">2021-05-06T10:47:47Z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D2872960D8B24BA490D628F5D57CB3E7</vt:lpwstr>
  </property>
</Properties>
</file>