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BBDF4">
      <w:pPr>
        <w:keepNext w:val="0"/>
        <w:keepLines w:val="0"/>
        <w:pageBreakBefore w:val="0"/>
        <w:widowControl w:val="0"/>
        <w:shd w:val="clear" w:color="auto" w:fill="auto"/>
        <w:kinsoku/>
        <w:wordWrap/>
        <w:overflowPunct/>
        <w:topLinePunct w:val="0"/>
        <w:autoSpaceDE/>
        <w:autoSpaceDN/>
        <w:bidi w:val="0"/>
        <w:adjustRightInd/>
        <w:snapToGrid/>
        <w:spacing w:before="0" w:after="0" w:line="587" w:lineRule="exact"/>
        <w:ind w:left="0" w:right="0" w:firstLine="0"/>
        <w:jc w:val="center"/>
        <w:textAlignment w:val="auto"/>
        <w:outlineLvl w:val="9"/>
        <w:rPr>
          <w:rFonts w:hint="eastAsia" w:ascii="方正小标宋简体" w:hAnsi="Times New Roman" w:eastAsia="方正小标宋简体" w:cs="Times New Roman"/>
          <w:color w:val="000000"/>
          <w:spacing w:val="0"/>
          <w:w w:val="100"/>
          <w:kern w:val="2"/>
          <w:position w:val="0"/>
          <w:sz w:val="44"/>
          <w:szCs w:val="44"/>
          <w:shd w:val="clear"/>
          <w:lang w:eastAsia="zh-CN" w:bidi="ar-SA"/>
        </w:rPr>
      </w:pPr>
      <w:r>
        <w:rPr>
          <w:rFonts w:hint="eastAsia" w:ascii="方正小标宋简体" w:hAnsi="Times New Roman" w:eastAsia="方正小标宋简体" w:cs="Times New Roman"/>
          <w:color w:val="000000"/>
          <w:spacing w:val="0"/>
          <w:w w:val="100"/>
          <w:kern w:val="2"/>
          <w:position w:val="0"/>
          <w:sz w:val="44"/>
          <w:szCs w:val="44"/>
          <w:shd w:val="clear"/>
          <w:lang w:eastAsia="zh-CN" w:bidi="ar-SA"/>
        </w:rPr>
        <w:t>山丹城北工业园区</w:t>
      </w:r>
    </w:p>
    <w:p w14:paraId="42638C8E">
      <w:pPr>
        <w:keepNext w:val="0"/>
        <w:keepLines w:val="0"/>
        <w:pageBreakBefore w:val="0"/>
        <w:widowControl w:val="0"/>
        <w:shd w:val="clear" w:color="auto" w:fill="auto"/>
        <w:kinsoku/>
        <w:wordWrap/>
        <w:overflowPunct/>
        <w:topLinePunct w:val="0"/>
        <w:autoSpaceDE/>
        <w:autoSpaceDN/>
        <w:bidi w:val="0"/>
        <w:adjustRightInd/>
        <w:snapToGrid/>
        <w:spacing w:before="0" w:after="0" w:line="587" w:lineRule="exact"/>
        <w:ind w:left="0" w:right="0" w:firstLine="0"/>
        <w:jc w:val="center"/>
        <w:textAlignment w:val="auto"/>
        <w:outlineLvl w:val="9"/>
        <w:rPr>
          <w:rFonts w:hint="eastAsia" w:ascii="方正小标宋简体" w:hAnsi="Times New Roman" w:eastAsia="方正小标宋简体" w:cs="Times New Roman"/>
          <w:color w:val="000000"/>
          <w:spacing w:val="0"/>
          <w:w w:val="100"/>
          <w:kern w:val="2"/>
          <w:position w:val="0"/>
          <w:sz w:val="44"/>
          <w:szCs w:val="44"/>
          <w:shd w:val="clear"/>
          <w:lang w:eastAsia="zh-CN" w:bidi="ar-SA"/>
        </w:rPr>
      </w:pPr>
      <w:r>
        <w:rPr>
          <w:rFonts w:hint="eastAsia" w:ascii="方正小标宋简体" w:hAnsi="Times New Roman" w:eastAsia="方正小标宋简体" w:cs="Times New Roman"/>
          <w:color w:val="000000"/>
          <w:spacing w:val="-28"/>
          <w:w w:val="100"/>
          <w:kern w:val="2"/>
          <w:position w:val="0"/>
          <w:sz w:val="44"/>
          <w:szCs w:val="44"/>
          <w:shd w:val="clear"/>
          <w:lang w:val="en-US" w:eastAsia="zh-CN" w:bidi="ar-SA"/>
        </w:rPr>
        <w:t>推进企业投资工业项目“标准地”供地模式实施细则</w:t>
      </w:r>
    </w:p>
    <w:p w14:paraId="2C694697">
      <w:pPr>
        <w:pStyle w:val="5"/>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方正小标宋简体" w:hAnsi="方正小标宋简体" w:eastAsia="方正小标宋简体" w:cs="方正小标宋简体"/>
          <w:sz w:val="44"/>
          <w:szCs w:val="44"/>
          <w:lang w:eastAsia="zh-CN"/>
        </w:rPr>
      </w:pPr>
    </w:p>
    <w:p w14:paraId="288DB0B4">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推进山丹城北工业园区工业项目“标准地”改革,强化“要素跟着项目走”保障机制,切实提高土地利用效率,实现“拿地即开工”,根据省政府办公厅《关于印发甘肃省深化“放管服”改革优化营商环境提质提标年工作方案的通知》(甘政办发〔2021〕13号)和《关于深化投资建设领域“放管服”改革持续优化营商环境的若干措施》（甘政办发〔2021〕1</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lang w:eastAsia="zh-CN"/>
        </w:rPr>
        <w:t>号）以及省发展改革委、省自然资源厅《关于开展“标准地”改革试点工作的通知》(甘发改投资函〔2021〕7号)和张掖市人民政府办公室《关于印发张掖市</w:t>
      </w:r>
      <w:r>
        <w:rPr>
          <w:rFonts w:hint="eastAsia" w:ascii="仿宋_GB2312" w:hAnsi="仿宋_GB2312" w:eastAsia="仿宋_GB2312" w:cs="仿宋_GB2312"/>
          <w:sz w:val="32"/>
          <w:szCs w:val="32"/>
          <w:lang w:val="en-US" w:eastAsia="zh-CN"/>
        </w:rPr>
        <w:t>推进企业投资工业项目“标准地”改革工作实施方案的通知</w:t>
      </w:r>
      <w:r>
        <w:rPr>
          <w:rFonts w:hint="eastAsia" w:ascii="仿宋_GB2312" w:hAnsi="仿宋_GB2312" w:eastAsia="仿宋_GB2312" w:cs="仿宋_GB2312"/>
          <w:sz w:val="32"/>
          <w:szCs w:val="32"/>
          <w:lang w:eastAsia="zh-CN"/>
        </w:rPr>
        <w:t>》要求,结合山丹城北工业园区实际,制定本实施</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lang w:eastAsia="zh-CN"/>
        </w:rPr>
        <w:t>。</w:t>
      </w:r>
    </w:p>
    <w:p w14:paraId="64D6BD9E">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总体要求</w:t>
      </w:r>
    </w:p>
    <w:p w14:paraId="711B657A">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贯彻落实党中央、国务院及省委省政</w:t>
      </w:r>
      <w:r>
        <w:rPr>
          <w:rFonts w:hint="eastAsia" w:ascii="仿宋_GB2312" w:hAnsi="仿宋_GB2312" w:eastAsia="仿宋_GB2312" w:cs="仿宋_GB2312"/>
          <w:sz w:val="32"/>
          <w:szCs w:val="32"/>
          <w:lang w:eastAsia="zh-CN"/>
        </w:rPr>
        <w:t>府关于深化“放管服”改革优化营商环境的部署要求,充分发挥工业园区政策体制优势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对符合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布局集中、产业集聚、用地集约”要求的项目优先安排建设用地指标,加快土地供应改革创新,吸引高质量工业项目快速落地,推动山丹城北工业园区经济高质量发展。</w:t>
      </w:r>
    </w:p>
    <w:p w14:paraId="6A9CD8E7">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二、 </w:t>
      </w:r>
      <w:r>
        <w:rPr>
          <w:rFonts w:hint="eastAsia" w:ascii="黑体" w:hAnsi="黑体" w:eastAsia="黑体" w:cs="黑体"/>
          <w:sz w:val="32"/>
          <w:szCs w:val="32"/>
        </w:rPr>
        <w:t>范围</w:t>
      </w:r>
      <w:r>
        <w:rPr>
          <w:rFonts w:hint="eastAsia" w:ascii="黑体" w:hAnsi="黑体" w:eastAsia="黑体" w:cs="黑体"/>
          <w:sz w:val="32"/>
          <w:szCs w:val="32"/>
          <w:lang w:eastAsia="zh-CN"/>
        </w:rPr>
        <w:t>及原则</w:t>
      </w:r>
    </w:p>
    <w:p w14:paraId="608C0303">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企业投资工业项目“标准地”是指在完成相关区域评估基础上,带着控制性指标,项目符合规划要求，并实现项目开工所必须的通水、通电、通路、土地权属清晰且拆迁完成等基本条件出让的国有建设用地。推进具有通用性、配套性、集约性“标准化厂房”建设，将为中小工业企业集聚发展和工业投资项目提供生产经营场所的发展平台。</w:t>
      </w:r>
    </w:p>
    <w:p w14:paraId="0D03C99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1.适用范围</w:t>
      </w:r>
    </w:p>
    <w:p w14:paraId="1F58FB3B">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kern w:val="2"/>
          <w:position w:val="0"/>
          <w:sz w:val="32"/>
          <w:szCs w:val="32"/>
          <w:shd w:val="clear"/>
          <w:lang w:eastAsia="zh-CN" w:bidi="ar-SA"/>
        </w:rPr>
        <w:t>山丹城北工业园区</w:t>
      </w:r>
      <w:r>
        <w:rPr>
          <w:rFonts w:hint="eastAsia" w:ascii="仿宋_GB2312" w:hAnsi="仿宋_GB2312" w:eastAsia="仿宋_GB2312" w:cs="仿宋_GB2312"/>
          <w:sz w:val="32"/>
          <w:szCs w:val="32"/>
          <w:lang w:val="en-US" w:eastAsia="zh-CN"/>
        </w:rPr>
        <w:t>管辖</w:t>
      </w:r>
      <w:r>
        <w:rPr>
          <w:rFonts w:hint="eastAsia" w:ascii="仿宋_GB2312" w:hAnsi="仿宋_GB2312" w:eastAsia="仿宋_GB2312" w:cs="仿宋_GB2312"/>
          <w:color w:val="auto"/>
          <w:sz w:val="32"/>
          <w:szCs w:val="32"/>
        </w:rPr>
        <w:t>范围</w:t>
      </w:r>
      <w:r>
        <w:rPr>
          <w:rFonts w:hint="eastAsia" w:ascii="仿宋_GB2312" w:hAnsi="仿宋_GB2312" w:eastAsia="仿宋_GB2312" w:cs="仿宋_GB2312"/>
          <w:sz w:val="32"/>
          <w:szCs w:val="32"/>
        </w:rPr>
        <w:t>内所有采用出让方式</w:t>
      </w:r>
      <w:r>
        <w:rPr>
          <w:rFonts w:hint="eastAsia" w:ascii="仿宋_GB2312" w:hAnsi="仿宋_GB2312" w:eastAsia="仿宋_GB2312" w:cs="仿宋_GB2312"/>
          <w:sz w:val="32"/>
          <w:szCs w:val="32"/>
          <w:lang w:eastAsia="zh-CN"/>
        </w:rPr>
        <w:t>供</w:t>
      </w:r>
      <w:r>
        <w:rPr>
          <w:rFonts w:hint="eastAsia" w:ascii="仿宋_GB2312" w:hAnsi="仿宋_GB2312" w:eastAsia="仿宋_GB2312" w:cs="仿宋_GB2312"/>
          <w:sz w:val="32"/>
          <w:szCs w:val="32"/>
        </w:rPr>
        <w:t>地的企业投资工业项目,适用本实施</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lang w:eastAsia="zh-CN"/>
        </w:rPr>
        <w:t>。</w:t>
      </w:r>
    </w:p>
    <w:p w14:paraId="4FF4A71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2.基本原则</w:t>
      </w:r>
    </w:p>
    <w:p w14:paraId="02982D9E">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87" w:lineRule="exact"/>
        <w:ind w:firstLine="643" w:firstLineChars="200"/>
        <w:textAlignment w:val="baseline"/>
        <w:rPr>
          <w:rFonts w:hint="default" w:ascii="仿宋_GB2312" w:hAnsi="仿宋_GB2312" w:eastAsia="仿宋_GB2312" w:cs="仿宋_GB2312"/>
          <w:color w:val="auto"/>
          <w:spacing w:val="0"/>
          <w:w w:val="100"/>
          <w:position w:val="0"/>
          <w:sz w:val="32"/>
          <w:szCs w:val="32"/>
          <w:shd w:val="clear" w:color="auto" w:fill="auto"/>
          <w:lang w:val="en-US" w:eastAsia="zh-CN" w:bidi="en-US"/>
        </w:rPr>
      </w:pPr>
      <w:r>
        <w:rPr>
          <w:rFonts w:hint="default" w:ascii="仿宋_GB2312" w:hAnsi="仿宋_GB2312" w:eastAsia="仿宋_GB2312" w:cs="仿宋_GB2312"/>
          <w:b/>
          <w:bCs/>
          <w:snapToGrid w:val="0"/>
          <w:color w:val="auto"/>
          <w:sz w:val="32"/>
          <w:szCs w:val="32"/>
          <w:lang w:val="en-US" w:eastAsia="zh-CN" w:bidi="ar-SA"/>
        </w:rPr>
        <w:t>(一）</w:t>
      </w:r>
      <w:r>
        <w:rPr>
          <w:rFonts w:hint="default" w:ascii="仿宋_GB2312" w:hAnsi="仿宋_GB2312" w:eastAsia="仿宋_GB2312" w:cs="仿宋_GB2312"/>
          <w:b/>
          <w:bCs/>
          <w:color w:val="auto"/>
          <w:spacing w:val="0"/>
          <w:w w:val="100"/>
          <w:position w:val="0"/>
          <w:sz w:val="32"/>
          <w:szCs w:val="32"/>
          <w:shd w:val="clear" w:color="auto" w:fill="auto"/>
          <w:lang w:val="en-US" w:eastAsia="zh-CN" w:bidi="en-US"/>
        </w:rPr>
        <w:t>坚持市场化配置原则。</w:t>
      </w:r>
      <w:r>
        <w:rPr>
          <w:rFonts w:hint="default" w:ascii="仿宋_GB2312" w:hAnsi="仿宋_GB2312" w:eastAsia="仿宋_GB2312" w:cs="仿宋_GB2312"/>
          <w:color w:val="auto"/>
          <w:spacing w:val="0"/>
          <w:w w:val="100"/>
          <w:position w:val="0"/>
          <w:sz w:val="32"/>
          <w:szCs w:val="32"/>
          <w:shd w:val="clear" w:color="auto" w:fill="auto"/>
          <w:lang w:val="en-US" w:eastAsia="zh-CN" w:bidi="en-US"/>
        </w:rPr>
        <w:t>坚持市场在资源配置中的决定性作用，破除传统土地资源要素配置中的体制性障碍，通过政府事前制定发布标准，企业对标竞价，构建“公开透明、规范高效”的新型招商模式和良好的营商环境。</w:t>
      </w:r>
    </w:p>
    <w:p w14:paraId="350D4423">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87" w:lineRule="exact"/>
        <w:ind w:firstLine="643" w:firstLineChars="200"/>
        <w:textAlignment w:val="baseline"/>
        <w:rPr>
          <w:rFonts w:hint="default" w:ascii="仿宋_GB2312" w:hAnsi="仿宋_GB2312" w:eastAsia="仿宋_GB2312" w:cs="仿宋_GB2312"/>
          <w:color w:val="auto"/>
          <w:spacing w:val="0"/>
          <w:w w:val="100"/>
          <w:position w:val="0"/>
          <w:sz w:val="32"/>
          <w:szCs w:val="32"/>
          <w:shd w:val="clear" w:color="auto" w:fill="auto"/>
          <w:lang w:val="en-US" w:eastAsia="zh-CN" w:bidi="en-US"/>
        </w:rPr>
      </w:pPr>
      <w:r>
        <w:rPr>
          <w:rFonts w:hint="default" w:ascii="仿宋_GB2312" w:hAnsi="仿宋_GB2312" w:eastAsia="仿宋_GB2312" w:cs="仿宋_GB2312"/>
          <w:b/>
          <w:bCs/>
          <w:snapToGrid w:val="0"/>
          <w:color w:val="auto"/>
          <w:sz w:val="32"/>
          <w:szCs w:val="32"/>
          <w:lang w:val="en-US" w:eastAsia="zh-CN" w:bidi="ar-SA"/>
        </w:rPr>
        <w:t>(二）</w:t>
      </w:r>
      <w:r>
        <w:rPr>
          <w:rFonts w:hint="default" w:ascii="仿宋_GB2312" w:hAnsi="仿宋_GB2312" w:eastAsia="仿宋_GB2312" w:cs="仿宋_GB2312"/>
          <w:b/>
          <w:bCs/>
          <w:color w:val="auto"/>
          <w:spacing w:val="0"/>
          <w:w w:val="100"/>
          <w:position w:val="0"/>
          <w:sz w:val="32"/>
          <w:szCs w:val="32"/>
          <w:shd w:val="clear" w:color="auto" w:fill="auto"/>
          <w:lang w:val="en-US" w:eastAsia="zh-CN" w:bidi="en-US"/>
        </w:rPr>
        <w:t>坚持标准先行原则。</w:t>
      </w:r>
      <w:r>
        <w:rPr>
          <w:rFonts w:hint="default" w:ascii="仿宋_GB2312" w:hAnsi="仿宋_GB2312" w:eastAsia="仿宋_GB2312" w:cs="仿宋_GB2312"/>
          <w:color w:val="auto"/>
          <w:spacing w:val="0"/>
          <w:w w:val="100"/>
          <w:position w:val="0"/>
          <w:sz w:val="32"/>
          <w:szCs w:val="32"/>
          <w:shd w:val="clear" w:color="auto" w:fill="auto"/>
          <w:lang w:val="en-US" w:eastAsia="zh-CN" w:bidi="en-US"/>
        </w:rPr>
        <w:t>全面实施区域评价制度，在土地出让前先行制定规划设计条件、固定资产投资强度、能耗标准、环境标准、亩产税收和亩均增加值等控制指标，降低制度性交易成本，以土地利用效率为核心，完善奖惩倒逼机制，提升土地节约集约利用水平。</w:t>
      </w:r>
    </w:p>
    <w:p w14:paraId="46F2B809">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87" w:lineRule="exact"/>
        <w:ind w:firstLine="643" w:firstLineChars="200"/>
        <w:textAlignment w:val="baseline"/>
        <w:rPr>
          <w:rFonts w:hint="default" w:ascii="仿宋_GB2312" w:hAnsi="仿宋_GB2312" w:eastAsia="仿宋_GB2312" w:cs="仿宋_GB2312"/>
          <w:color w:val="auto"/>
          <w:spacing w:val="0"/>
          <w:w w:val="100"/>
          <w:position w:val="0"/>
          <w:sz w:val="32"/>
          <w:szCs w:val="32"/>
          <w:shd w:val="clear" w:color="auto" w:fill="auto"/>
          <w:lang w:val="en-US" w:eastAsia="zh-CN" w:bidi="en-US"/>
        </w:rPr>
      </w:pPr>
      <w:r>
        <w:rPr>
          <w:rFonts w:hint="default" w:ascii="仿宋_GB2312" w:hAnsi="仿宋_GB2312" w:eastAsia="仿宋_GB2312" w:cs="仿宋_GB2312"/>
          <w:b/>
          <w:bCs/>
          <w:snapToGrid w:val="0"/>
          <w:color w:val="auto"/>
          <w:sz w:val="32"/>
          <w:szCs w:val="32"/>
          <w:lang w:val="en-US" w:eastAsia="zh-CN" w:bidi="ar-SA"/>
        </w:rPr>
        <w:t>(三)</w:t>
      </w:r>
      <w:r>
        <w:rPr>
          <w:rFonts w:hint="default" w:ascii="仿宋_GB2312" w:hAnsi="仿宋_GB2312" w:eastAsia="仿宋_GB2312" w:cs="仿宋_GB2312"/>
          <w:b/>
          <w:bCs/>
          <w:color w:val="auto"/>
          <w:spacing w:val="0"/>
          <w:w w:val="100"/>
          <w:position w:val="0"/>
          <w:sz w:val="32"/>
          <w:szCs w:val="32"/>
          <w:shd w:val="clear" w:color="auto" w:fill="auto"/>
          <w:lang w:val="en-US" w:eastAsia="zh-CN" w:bidi="en-US"/>
        </w:rPr>
        <w:t>坚持承诺诚信原则。</w:t>
      </w:r>
      <w:r>
        <w:rPr>
          <w:rFonts w:hint="default" w:ascii="仿宋_GB2312" w:hAnsi="仿宋_GB2312" w:eastAsia="仿宋_GB2312" w:cs="仿宋_GB2312"/>
          <w:color w:val="auto"/>
          <w:spacing w:val="0"/>
          <w:w w:val="100"/>
          <w:position w:val="0"/>
          <w:sz w:val="32"/>
          <w:szCs w:val="32"/>
          <w:shd w:val="clear" w:color="auto" w:fill="auto"/>
          <w:lang w:val="en-US" w:eastAsia="zh-CN" w:bidi="en-US"/>
        </w:rPr>
        <w:t>建立“守信者受益、失信者受限”的信用联合奖惩机制，实行“标准地”企业承诺制度，对企业履行承诺情况全过程监管、实行奖惩。</w:t>
      </w:r>
    </w:p>
    <w:p w14:paraId="7B7698B8">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黑体" w:hAnsi="黑体" w:eastAsia="黑体" w:cs="黑体"/>
          <w:sz w:val="32"/>
          <w:szCs w:val="32"/>
          <w:lang w:val="en-US" w:eastAsia="zh-CN"/>
        </w:rPr>
      </w:pPr>
      <w:r>
        <w:rPr>
          <w:rFonts w:hint="default" w:ascii="仿宋_GB2312" w:hAnsi="仿宋_GB2312" w:eastAsia="仿宋_GB2312" w:cs="仿宋_GB2312"/>
          <w:b/>
          <w:bCs/>
          <w:snapToGrid w:val="0"/>
          <w:color w:val="auto"/>
          <w:sz w:val="32"/>
          <w:szCs w:val="32"/>
          <w:lang w:val="en-US" w:eastAsia="zh-CN" w:bidi="ar-SA"/>
        </w:rPr>
        <w:t>(四)坚持全流程监管原则。</w:t>
      </w:r>
      <w:r>
        <w:rPr>
          <w:rFonts w:hint="default" w:ascii="仿宋_GB2312" w:hAnsi="仿宋_GB2312" w:eastAsia="仿宋_GB2312" w:cs="仿宋_GB2312"/>
          <w:snapToGrid w:val="0"/>
          <w:color w:val="auto"/>
          <w:sz w:val="32"/>
          <w:szCs w:val="32"/>
          <w:lang w:val="en-US" w:eastAsia="zh-CN" w:bidi="ar-SA"/>
        </w:rPr>
        <w:t>强化事中事后监管、指导，完善监管服务体系，建立企业承诺信用评价管理机制，加大对诚信主体激励和失信主体惩戒力度，形成“守信者受益、失信者受限”的良好风气。</w:t>
      </w:r>
    </w:p>
    <w:p w14:paraId="28608CD1">
      <w:pPr>
        <w:keepNext w:val="0"/>
        <w:keepLines w:val="0"/>
        <w:pageBreakBefore w:val="0"/>
        <w:widowControl w:val="0"/>
        <w:shd w:val="clear" w:color="auto" w:fill="auto"/>
        <w:kinsoku/>
        <w:wordWrap/>
        <w:overflowPunct/>
        <w:topLinePunct w:val="0"/>
        <w:autoSpaceDE/>
        <w:autoSpaceDN/>
        <w:bidi w:val="0"/>
        <w:adjustRightInd/>
        <w:snapToGrid/>
        <w:spacing w:line="587"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三、区域评估</w:t>
      </w:r>
    </w:p>
    <w:p w14:paraId="0C4C3624">
      <w:pPr>
        <w:keepNext w:val="0"/>
        <w:keepLines w:val="0"/>
        <w:pageBreakBefore w:val="0"/>
        <w:widowControl w:val="0"/>
        <w:shd w:val="clear" w:color="auto" w:fill="auto"/>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出让“标准地”所在区域，全面应用区域评估成果，项目审批全流程涉及6项区域评估，其中主管部门公告范围内的压覆重要矿产资源评估、地质灾害危险性评估、规划环境影响评价、水土保持区域评估、文物影响评估、地震安全性评价和水资源论证、气候可行性论证等评估事项，不再单独编制单项评估文本和评估事项审查审批，采用告知承诺方式办理；环境影响评价、安全预评价、安全设施设计审查3项评估事项按照国家、省、市、县及山丹城北工业园区相关规定执行。</w:t>
      </w:r>
    </w:p>
    <w:p w14:paraId="28F1B587">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single"/>
          <w:shd w:val="clear" w:color="auto" w:fill="auto"/>
          <w:lang w:val="en-US" w:eastAsia="zh-CN" w:bidi="en-US"/>
        </w:rPr>
      </w:pP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en-US"/>
        </w:rPr>
        <w:t>规范文物行政审批流程。建设项目选址应严格避让文物保护单位的保护范围和建设控制地带，确因特殊情况无法避开的，须上报省文物局组织相关单位进行考古调查，根据考古调查结果和文物保护意见，编制工程项目涉及文物保护单位的设计方案和文物影响评估报告，按文物行政许可程序履行审批手续。由于文物</w:t>
      </w:r>
      <w:bookmarkStart w:id="0" w:name="_GoBack"/>
      <w:bookmarkEnd w:id="0"/>
      <w:r>
        <w:rPr>
          <w:rFonts w:hint="eastAsia" w:ascii="仿宋_GB2312" w:hAnsi="仿宋_GB2312" w:eastAsia="仿宋_GB2312" w:cs="仿宋_GB2312"/>
          <w:color w:val="000000"/>
          <w:spacing w:val="0"/>
          <w:w w:val="100"/>
          <w:position w:val="0"/>
          <w:sz w:val="32"/>
          <w:szCs w:val="32"/>
          <w:u w:val="single"/>
          <w:shd w:val="clear" w:color="auto" w:fill="auto"/>
          <w:lang w:val="en-US" w:eastAsia="zh-CN" w:bidi="en-US"/>
        </w:rPr>
        <w:t>埋藏的隐蔽性和不可预见性，不排除施工中发现文物遗存的可能。施工中如发现地下文物，施工单位应立即停工并保护好现场，并及时上报县文体广旅局(文物局)。</w:t>
      </w:r>
    </w:p>
    <w:p w14:paraId="31B18C95">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黑体" w:hAnsi="黑体" w:eastAsia="黑体" w:cs="黑体"/>
          <w:sz w:val="32"/>
          <w:szCs w:val="32"/>
          <w:lang w:val="en-US" w:eastAsia="zh-CN"/>
        </w:rPr>
        <w:t>四、控制性指标</w:t>
      </w:r>
    </w:p>
    <w:p w14:paraId="4CBAF20F">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设立出让工作“标准地”准入条件控制性指标体系，明确准入产业、亩均固定资产投资强度、亩均税收、容积率、建筑密度、绿化率等6项控制性指标体系。</w:t>
      </w:r>
    </w:p>
    <w:p w14:paraId="031C4DA9">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1.准入产业。</w:t>
      </w:r>
      <w:r>
        <w:rPr>
          <w:rFonts w:hint="eastAsia" w:ascii="仿宋_GB2312" w:hAnsi="仿宋_GB2312" w:eastAsia="仿宋_GB2312" w:cs="仿宋_GB2312"/>
          <w:sz w:val="32"/>
          <w:szCs w:val="32"/>
          <w:lang w:val="en-US" w:eastAsia="zh-CN"/>
        </w:rPr>
        <w:t>要围绕国家</w:t>
      </w:r>
      <w:r>
        <w:rPr>
          <w:rFonts w:hint="eastAsia" w:ascii="仿宋_GB2312" w:hAnsi="仿宋_GB2312" w:eastAsia="仿宋_GB2312" w:cs="仿宋_GB2312"/>
          <w:sz w:val="32"/>
          <w:szCs w:val="32"/>
          <w:u w:val="single"/>
          <w:lang w:val="en-US" w:eastAsia="zh-CN"/>
        </w:rPr>
        <w:t>《产业结构调整指导目录》</w:t>
      </w:r>
      <w:r>
        <w:rPr>
          <w:rFonts w:hint="eastAsia" w:ascii="仿宋_GB2312" w:hAnsi="仿宋_GB2312" w:eastAsia="仿宋_GB2312" w:cs="仿宋_GB2312"/>
          <w:sz w:val="32"/>
          <w:szCs w:val="32"/>
          <w:lang w:val="en-US" w:eastAsia="zh-CN"/>
        </w:rPr>
        <w:t>《山丹县产业准入负面清单》，立足资源禀赋、产业基础和区位优势，重点引进农副产品加工、装备制造、建材轻工、生物医药、现代物流等产业。对于原国土资源部《限制用地项目目录（2012年本）》《禁止用地项目目录（2012年本）》和国家发改委制定的</w:t>
      </w:r>
      <w:r>
        <w:rPr>
          <w:rFonts w:hint="eastAsia" w:ascii="仿宋_GB2312" w:hAnsi="仿宋_GB2312" w:eastAsia="仿宋_GB2312" w:cs="仿宋_GB2312"/>
          <w:i w:val="0"/>
          <w:iCs w:val="0"/>
          <w:sz w:val="32"/>
          <w:szCs w:val="32"/>
          <w:u w:val="single"/>
          <w:lang w:val="en-US" w:eastAsia="zh-CN"/>
        </w:rPr>
        <w:t>《产业结构调整指导目录》</w:t>
      </w:r>
      <w:r>
        <w:rPr>
          <w:rFonts w:hint="eastAsia" w:ascii="仿宋_GB2312" w:hAnsi="仿宋_GB2312" w:eastAsia="仿宋_GB2312" w:cs="仿宋_GB2312"/>
          <w:sz w:val="32"/>
          <w:szCs w:val="32"/>
          <w:lang w:val="en-US" w:eastAsia="zh-CN"/>
        </w:rPr>
        <w:t>中禁止入园项目，一律禁止进入山丹城北工业园区。</w:t>
      </w:r>
    </w:p>
    <w:p w14:paraId="4B2AA478">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3" w:firstLineChars="200"/>
        <w:textAlignment w:val="auto"/>
        <w:rPr>
          <w:rFonts w:hint="eastAsia" w:ascii="仿宋_GB2312" w:hAnsi="仿宋_GB2312" w:eastAsia="仿宋_GB2312" w:cs="仿宋_GB2312"/>
          <w:sz w:val="32"/>
          <w:szCs w:val="32"/>
          <w:u w:val="none"/>
          <w:lang w:val="en" w:eastAsia="zh-CN"/>
        </w:rPr>
      </w:pPr>
      <w:r>
        <w:rPr>
          <w:rFonts w:hint="eastAsia" w:ascii="楷体_GB2312" w:hAnsi="楷体_GB2312" w:eastAsia="楷体_GB2312" w:cs="楷体_GB2312"/>
          <w:b/>
          <w:bCs/>
          <w:sz w:val="32"/>
          <w:szCs w:val="32"/>
          <w:lang w:val="en-US" w:eastAsia="zh-CN"/>
        </w:rPr>
        <w:t>2.亩均固定资产投资强度。</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eastAsia="zh-CN"/>
        </w:rPr>
        <w:t>目亩均固定</w:t>
      </w:r>
      <w:r>
        <w:rPr>
          <w:rFonts w:hint="eastAsia" w:ascii="仿宋_GB2312" w:hAnsi="仿宋_GB2312" w:eastAsia="仿宋_GB2312" w:cs="仿宋_GB2312"/>
          <w:sz w:val="32"/>
          <w:szCs w:val="32"/>
        </w:rPr>
        <w:t>资产投资强度</w:t>
      </w:r>
      <w:r>
        <w:rPr>
          <w:rFonts w:hint="eastAsia" w:ascii="仿宋_GB2312" w:hAnsi="仿宋_GB2312" w:eastAsia="仿宋_GB2312" w:cs="仿宋_GB2312"/>
          <w:sz w:val="32"/>
          <w:szCs w:val="32"/>
          <w:lang w:eastAsia="zh-CN"/>
        </w:rPr>
        <w:t>不低于</w:t>
      </w:r>
      <w:r>
        <w:rPr>
          <w:rFonts w:hint="eastAsia" w:ascii="仿宋_GB2312" w:hAnsi="仿宋_GB2312" w:cs="仿宋_GB2312"/>
          <w:sz w:val="32"/>
          <w:szCs w:val="32"/>
          <w:u w:val="none"/>
          <w:lang w:val="en-US" w:eastAsia="zh-CN"/>
        </w:rPr>
        <w:t>31.33-88.66</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u w:val="none"/>
          <w:lang w:val="en" w:eastAsia="zh-CN"/>
        </w:rPr>
        <w:t>/亩。</w:t>
      </w:r>
    </w:p>
    <w:p w14:paraId="08B0C15B">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3" w:firstLineChars="200"/>
        <w:jc w:val="both"/>
        <w:textAlignment w:val="auto"/>
        <w:rPr>
          <w:rFonts w:hint="default" w:ascii="仿宋_GB2312" w:hAnsi="仿宋_GB2312" w:eastAsia="仿宋_GB2312" w:cs="仿宋_GB2312"/>
          <w:sz w:val="32"/>
          <w:szCs w:val="32"/>
          <w:u w:val="single"/>
          <w:lang w:val="en-US" w:eastAsia="zh-CN"/>
        </w:rPr>
      </w:pPr>
      <w:r>
        <w:rPr>
          <w:rFonts w:hint="eastAsia" w:ascii="楷体_GB2312" w:hAnsi="楷体_GB2312" w:eastAsia="楷体_GB2312" w:cs="楷体_GB2312"/>
          <w:b/>
          <w:bCs/>
          <w:sz w:val="32"/>
          <w:szCs w:val="32"/>
          <w:lang w:val="en-US" w:eastAsia="zh-CN"/>
        </w:rPr>
        <w:t>3.亩均税收。</w:t>
      </w:r>
      <w:r>
        <w:rPr>
          <w:rFonts w:hint="eastAsia" w:ascii="仿宋_GB2312" w:hAnsi="仿宋_GB2312" w:eastAsia="仿宋_GB2312" w:cs="仿宋_GB2312"/>
          <w:sz w:val="32"/>
          <w:szCs w:val="32"/>
          <w:lang w:eastAsia="zh-CN"/>
        </w:rPr>
        <w:t>项目达产后，亩均年税收不低于</w:t>
      </w:r>
      <w:r>
        <w:rPr>
          <w:rFonts w:hint="eastAsia" w:ascii="仿宋_GB2312" w:hAnsi="仿宋_GB2312" w:eastAsia="仿宋_GB2312" w:cs="仿宋_GB2312"/>
          <w:sz w:val="32"/>
          <w:szCs w:val="32"/>
          <w:u w:val="none"/>
          <w:lang w:val="en-US" w:eastAsia="zh-CN"/>
        </w:rPr>
        <w:t>3万元</w:t>
      </w:r>
      <w:r>
        <w:rPr>
          <w:rFonts w:hint="eastAsia" w:ascii="仿宋_GB2312" w:hAnsi="仿宋_GB2312" w:eastAsia="仿宋_GB2312" w:cs="仿宋_GB2312"/>
          <w:sz w:val="32"/>
          <w:szCs w:val="32"/>
          <w:u w:val="none"/>
          <w:lang w:val="en" w:eastAsia="zh-CN"/>
        </w:rPr>
        <w:t>/亩。</w:t>
      </w:r>
      <w:r>
        <w:rPr>
          <w:rFonts w:hint="eastAsia" w:ascii="仿宋_GB2312" w:hAnsi="仿宋_GB2312" w:eastAsia="仿宋_GB2312" w:cs="仿宋_GB2312"/>
          <w:sz w:val="32"/>
          <w:szCs w:val="32"/>
          <w:u w:val="single"/>
          <w:lang w:val="en-US" w:eastAsia="zh-CN"/>
        </w:rPr>
        <w:t>企业应根据实际经营情况按照相关税收法律法规如实申报并缴纳税款。</w:t>
      </w:r>
    </w:p>
    <w:p w14:paraId="038B4CB8">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b/>
          <w:bCs/>
          <w:sz w:val="32"/>
          <w:szCs w:val="32"/>
          <w:lang w:val="en-US" w:eastAsia="zh-CN"/>
        </w:rPr>
        <w:t>4.容积率。</w:t>
      </w:r>
      <w:r>
        <w:rPr>
          <w:rFonts w:hint="eastAsia" w:ascii="仿宋_GB2312" w:hAnsi="仿宋_GB2312" w:eastAsia="仿宋_GB2312" w:cs="仿宋_GB2312"/>
          <w:sz w:val="32"/>
          <w:szCs w:val="32"/>
        </w:rPr>
        <w:t>容积率</w:t>
      </w:r>
      <w:r>
        <w:rPr>
          <w:rFonts w:hint="eastAsia" w:ascii="仿宋_GB2312" w:hAnsi="仿宋_GB2312" w:eastAsia="仿宋_GB2312" w:cs="仿宋_GB2312"/>
          <w:sz w:val="32"/>
          <w:szCs w:val="32"/>
          <w:lang w:eastAsia="zh-CN"/>
        </w:rPr>
        <w:t>不低于《</w:t>
      </w:r>
      <w:r>
        <w:rPr>
          <w:rFonts w:hint="eastAsia" w:ascii="仿宋_GB2312" w:hAnsi="仿宋_GB2312" w:eastAsia="仿宋_GB2312" w:cs="仿宋_GB2312"/>
          <w:sz w:val="32"/>
          <w:szCs w:val="32"/>
          <w:u w:val="none"/>
          <w:lang w:val="en-US" w:eastAsia="zh-CN"/>
        </w:rPr>
        <w:t>工业项目建设用地控制指标》相关规定。</w:t>
      </w:r>
    </w:p>
    <w:p w14:paraId="1441FFFB">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b/>
          <w:bCs/>
          <w:sz w:val="32"/>
          <w:szCs w:val="32"/>
          <w:lang w:val="en-US" w:eastAsia="zh-CN"/>
        </w:rPr>
        <w:t>5.绿化率。</w:t>
      </w:r>
      <w:r>
        <w:rPr>
          <w:rFonts w:hint="eastAsia" w:ascii="仿宋_GB2312" w:hAnsi="仿宋_GB2312" w:eastAsia="仿宋_GB2312" w:cs="仿宋_GB2312"/>
          <w:color w:val="auto"/>
          <w:sz w:val="32"/>
          <w:szCs w:val="32"/>
          <w:lang w:val="en-US" w:eastAsia="zh-CN"/>
        </w:rPr>
        <w:t>绿化率</w:t>
      </w:r>
      <w:r>
        <w:rPr>
          <w:rFonts w:hint="eastAsia" w:ascii="仿宋_GB2312" w:hAnsi="仿宋_GB2312" w:eastAsia="仿宋_GB2312" w:cs="仿宋_GB2312"/>
          <w:color w:val="auto"/>
          <w:sz w:val="32"/>
          <w:szCs w:val="32"/>
          <w:lang w:eastAsia="zh-CN"/>
        </w:rPr>
        <w:t>不低于</w:t>
      </w:r>
      <w:r>
        <w:rPr>
          <w:rFonts w:hint="eastAsia" w:ascii="仿宋_GB2312" w:hAnsi="仿宋_GB2312" w:eastAsia="仿宋_GB2312" w:cs="仿宋_GB2312"/>
          <w:color w:val="auto"/>
          <w:sz w:val="32"/>
          <w:szCs w:val="32"/>
          <w:u w:val="none"/>
          <w:lang w:val="en-US" w:eastAsia="zh-CN"/>
        </w:rPr>
        <w:t>30%。</w:t>
      </w:r>
    </w:p>
    <w:p w14:paraId="6A3FF4C1">
      <w:pPr>
        <w:pStyle w:val="7"/>
        <w:keepNext w:val="0"/>
        <w:keepLines w:val="0"/>
        <w:pageBreakBefore w:val="0"/>
        <w:widowControl w:val="0"/>
        <w:kinsoku/>
        <w:wordWrap/>
        <w:overflowPunct/>
        <w:topLinePunct w:val="0"/>
        <w:bidi w:val="0"/>
        <w:snapToGrid/>
        <w:spacing w:line="587" w:lineRule="exact"/>
        <w:rPr>
          <w:rFonts w:hint="default" w:ascii="仿宋_GB2312" w:hAnsi="仿宋_GB2312" w:eastAsia="仿宋_GB2312" w:cs="仿宋_GB2312"/>
          <w:color w:val="000000"/>
          <w:spacing w:val="0"/>
          <w:w w:val="100"/>
          <w:position w:val="0"/>
          <w:sz w:val="32"/>
          <w:szCs w:val="32"/>
          <w:shd w:val="clear" w:color="auto" w:fill="auto"/>
          <w:lang w:val="en-US" w:eastAsia="zh-CN" w:bidi="en-US"/>
        </w:rPr>
      </w:pPr>
      <w:r>
        <w:rPr>
          <w:rFonts w:hint="eastAsia" w:ascii="楷体_GB2312" w:hAnsi="楷体_GB2312" w:eastAsia="楷体_GB2312" w:cs="楷体_GB2312"/>
          <w:b/>
          <w:bCs/>
          <w:color w:val="000000"/>
          <w:spacing w:val="0"/>
          <w:w w:val="100"/>
          <w:position w:val="0"/>
          <w:sz w:val="32"/>
          <w:szCs w:val="32"/>
          <w:shd w:val="clear" w:color="auto" w:fill="auto"/>
          <w:lang w:val="en-US" w:eastAsia="zh-CN" w:bidi="en-US"/>
        </w:rPr>
        <w:t>6.建筑密度。</w:t>
      </w:r>
      <w:r>
        <w:rPr>
          <w:rFonts w:hint="eastAsia" w:ascii="仿宋_GB2312" w:hAnsi="仿宋_GB2312" w:eastAsia="仿宋_GB2312" w:cs="仿宋_GB2312"/>
          <w:color w:val="000000"/>
          <w:spacing w:val="0"/>
          <w:w w:val="100"/>
          <w:position w:val="0"/>
          <w:sz w:val="32"/>
          <w:szCs w:val="32"/>
          <w:shd w:val="clear" w:color="auto" w:fill="auto"/>
          <w:lang w:val="en-US" w:eastAsia="zh-CN" w:bidi="en-US"/>
        </w:rPr>
        <w:t>30%-60%。</w:t>
      </w:r>
    </w:p>
    <w:p w14:paraId="53F4C68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五、基础设施及出让流程</w:t>
      </w:r>
    </w:p>
    <w:p w14:paraId="7348866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3" w:firstLineChars="200"/>
        <w:textAlignment w:val="auto"/>
        <w:rPr>
          <w:rFonts w:hint="eastAsia" w:ascii="楷体" w:hAnsi="楷体" w:eastAsia="楷体" w:cs="楷体"/>
          <w:b/>
          <w:bCs/>
          <w:sz w:val="32"/>
          <w:szCs w:val="32"/>
          <w:lang w:val="en-US" w:eastAsia="zh-CN"/>
        </w:rPr>
      </w:pPr>
      <w:r>
        <w:rPr>
          <w:rFonts w:hint="eastAsia" w:ascii="楷体_GB2312" w:hAnsi="楷体_GB2312" w:eastAsia="楷体_GB2312" w:cs="楷体_GB2312"/>
          <w:b/>
          <w:bCs/>
          <w:sz w:val="32"/>
          <w:szCs w:val="32"/>
          <w:lang w:val="en-US" w:eastAsia="zh-CN"/>
        </w:rPr>
        <w:t>1.基础设施</w:t>
      </w:r>
    </w:p>
    <w:p w14:paraId="79BD23D8">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color w:val="000000"/>
          <w:spacing w:val="-28"/>
          <w:w w:val="100"/>
          <w:kern w:val="2"/>
          <w:position w:val="0"/>
          <w:sz w:val="32"/>
          <w:szCs w:val="32"/>
          <w:shd w:val="clear"/>
          <w:lang w:eastAsia="zh-CN" w:bidi="ar-SA"/>
        </w:rPr>
      </w:pPr>
      <w:r>
        <w:rPr>
          <w:rFonts w:hint="eastAsia" w:ascii="仿宋_GB2312" w:hAnsi="仿宋_GB2312" w:eastAsia="仿宋_GB2312" w:cs="仿宋_GB2312"/>
          <w:color w:val="000000"/>
          <w:spacing w:val="0"/>
          <w:w w:val="100"/>
          <w:kern w:val="2"/>
          <w:position w:val="0"/>
          <w:sz w:val="32"/>
          <w:szCs w:val="32"/>
          <w:shd w:val="clear"/>
          <w:lang w:eastAsia="zh-CN" w:bidi="ar-SA"/>
        </w:rPr>
        <w:t>山丹城北工业园区</w:t>
      </w:r>
      <w:r>
        <w:rPr>
          <w:rFonts w:hint="eastAsia" w:ascii="仿宋_GB2312" w:hAnsi="仿宋_GB2312" w:eastAsia="仿宋_GB2312" w:cs="仿宋_GB2312"/>
          <w:color w:val="auto"/>
          <w:sz w:val="32"/>
          <w:szCs w:val="32"/>
        </w:rPr>
        <w:t>“标准地”严格执行净地出让规定，确保地块具备项目动工开发所必须的“</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通一</w:t>
      </w:r>
      <w:r>
        <w:rPr>
          <w:rFonts w:hint="eastAsia" w:ascii="仿宋_GB2312" w:hAnsi="仿宋_GB2312" w:eastAsia="仿宋_GB2312" w:cs="仿宋_GB2312"/>
          <w:color w:val="auto"/>
          <w:sz w:val="32"/>
          <w:szCs w:val="32"/>
          <w:lang w:val="en-US" w:eastAsia="zh-CN"/>
        </w:rPr>
        <w:t>平</w:t>
      </w:r>
      <w:r>
        <w:rPr>
          <w:rFonts w:hint="eastAsia" w:ascii="仿宋_GB2312" w:hAnsi="仿宋_GB2312" w:eastAsia="仿宋_GB2312" w:cs="仿宋_GB2312"/>
          <w:color w:val="auto"/>
          <w:sz w:val="32"/>
          <w:szCs w:val="32"/>
        </w:rPr>
        <w:t>”基础条件，包</w:t>
      </w:r>
      <w:r>
        <w:rPr>
          <w:rFonts w:hint="eastAsia" w:ascii="仿宋_GB2312" w:hAnsi="仿宋_GB2312" w:eastAsia="仿宋_GB2312" w:cs="仿宋_GB2312"/>
          <w:color w:val="auto"/>
          <w:spacing w:val="-6"/>
          <w:sz w:val="32"/>
          <w:szCs w:val="32"/>
        </w:rPr>
        <w:t>括道路、给水、排水、电力、</w:t>
      </w:r>
      <w:r>
        <w:rPr>
          <w:rFonts w:hint="eastAsia" w:ascii="仿宋_GB2312" w:hAnsi="仿宋_GB2312" w:eastAsia="仿宋_GB2312" w:cs="仿宋_GB2312"/>
          <w:color w:val="auto"/>
          <w:spacing w:val="-6"/>
          <w:sz w:val="32"/>
          <w:szCs w:val="32"/>
          <w:lang w:val="en-US" w:eastAsia="zh-CN"/>
        </w:rPr>
        <w:t>供气（热）、</w:t>
      </w:r>
      <w:r>
        <w:rPr>
          <w:rFonts w:hint="eastAsia" w:ascii="仿宋_GB2312" w:hAnsi="仿宋_GB2312" w:eastAsia="仿宋_GB2312" w:cs="仿宋_GB2312"/>
          <w:color w:val="auto"/>
          <w:spacing w:val="-6"/>
          <w:sz w:val="32"/>
          <w:szCs w:val="32"/>
          <w:lang w:eastAsia="zh-CN"/>
        </w:rPr>
        <w:t>网络</w:t>
      </w:r>
      <w:r>
        <w:rPr>
          <w:rFonts w:hint="eastAsia" w:ascii="仿宋_GB2312" w:hAnsi="仿宋_GB2312" w:eastAsia="仿宋_GB2312" w:cs="仿宋_GB2312"/>
          <w:color w:val="auto"/>
          <w:spacing w:val="-6"/>
          <w:sz w:val="32"/>
          <w:szCs w:val="32"/>
          <w:lang w:val="en-US" w:eastAsia="zh-CN"/>
        </w:rPr>
        <w:t>及区域平整</w:t>
      </w:r>
      <w:r>
        <w:rPr>
          <w:rFonts w:hint="eastAsia" w:ascii="仿宋_GB2312" w:hAnsi="仿宋_GB2312" w:eastAsia="仿宋_GB2312" w:cs="仿宋_GB2312"/>
          <w:color w:val="auto"/>
          <w:spacing w:val="-6"/>
          <w:sz w:val="32"/>
          <w:szCs w:val="32"/>
        </w:rPr>
        <w:t>完成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pacing w:val="0"/>
          <w:w w:val="100"/>
          <w:kern w:val="2"/>
          <w:position w:val="0"/>
          <w:sz w:val="32"/>
          <w:szCs w:val="32"/>
          <w:shd w:val="clear"/>
          <w:lang w:eastAsia="zh-CN" w:bidi="ar-SA"/>
        </w:rPr>
        <w:t>同时，“标准化厂房”满足入驻企业“七通一</w:t>
      </w:r>
      <w:r>
        <w:rPr>
          <w:rFonts w:hint="eastAsia" w:ascii="仿宋_GB2312" w:hAnsi="仿宋_GB2312" w:eastAsia="仿宋_GB2312" w:cs="仿宋_GB2312"/>
          <w:color w:val="000000"/>
          <w:spacing w:val="0"/>
          <w:w w:val="100"/>
          <w:kern w:val="2"/>
          <w:position w:val="0"/>
          <w:sz w:val="32"/>
          <w:szCs w:val="32"/>
          <w:shd w:val="clear"/>
          <w:lang w:val="en-US" w:eastAsia="zh-CN" w:bidi="ar-SA"/>
        </w:rPr>
        <w:t>平</w:t>
      </w:r>
      <w:r>
        <w:rPr>
          <w:rFonts w:hint="eastAsia" w:ascii="仿宋_GB2312" w:hAnsi="仿宋_GB2312" w:eastAsia="仿宋_GB2312" w:cs="仿宋_GB2312"/>
          <w:color w:val="000000"/>
          <w:spacing w:val="0"/>
          <w:w w:val="100"/>
          <w:kern w:val="2"/>
          <w:position w:val="0"/>
          <w:sz w:val="32"/>
          <w:szCs w:val="32"/>
          <w:shd w:val="clear"/>
          <w:lang w:eastAsia="zh-CN" w:bidi="ar-SA"/>
        </w:rPr>
        <w:t>”基础条件，有利于优化生产力布局，</w:t>
      </w:r>
      <w:r>
        <w:rPr>
          <w:rFonts w:hint="eastAsia" w:ascii="仿宋_GB2312" w:hAnsi="仿宋_GB2312" w:eastAsia="仿宋_GB2312" w:cs="仿宋_GB2312"/>
          <w:color w:val="000000"/>
          <w:spacing w:val="-28"/>
          <w:w w:val="100"/>
          <w:kern w:val="2"/>
          <w:position w:val="0"/>
          <w:sz w:val="32"/>
          <w:szCs w:val="32"/>
          <w:shd w:val="clear"/>
          <w:lang w:eastAsia="zh-CN" w:bidi="ar-SA"/>
        </w:rPr>
        <w:t>促进中小企业发展，实现招商引资项目“拎包入住”。</w:t>
      </w:r>
    </w:p>
    <w:p w14:paraId="08CC1B0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2.出让或租赁流程</w:t>
      </w:r>
    </w:p>
    <w:p w14:paraId="03851A69">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color w:val="000000"/>
          <w:spacing w:val="0"/>
          <w:w w:val="100"/>
          <w:kern w:val="2"/>
          <w:position w:val="0"/>
          <w:sz w:val="32"/>
          <w:szCs w:val="32"/>
          <w:shd w:val="clear"/>
          <w:lang w:val="en-US" w:eastAsia="zh-CN" w:bidi="ar-SA"/>
        </w:rPr>
      </w:pPr>
      <w:r>
        <w:rPr>
          <w:rFonts w:hint="eastAsia" w:ascii="仿宋_GB2312" w:hAnsi="仿宋_GB2312" w:eastAsia="仿宋_GB2312" w:cs="仿宋_GB2312"/>
          <w:color w:val="000000"/>
          <w:spacing w:val="0"/>
          <w:w w:val="100"/>
          <w:kern w:val="2"/>
          <w:position w:val="0"/>
          <w:sz w:val="32"/>
          <w:szCs w:val="32"/>
          <w:shd w:val="clear"/>
          <w:lang w:eastAsia="zh-CN" w:bidi="ar-SA"/>
        </w:rPr>
        <w:t>山丹城北工业园区</w:t>
      </w:r>
      <w:r>
        <w:rPr>
          <w:rFonts w:hint="eastAsia" w:ascii="仿宋_GB2312" w:hAnsi="仿宋_GB2312" w:eastAsia="仿宋_GB2312" w:cs="仿宋_GB2312"/>
          <w:color w:val="000000"/>
          <w:spacing w:val="0"/>
          <w:w w:val="100"/>
          <w:kern w:val="2"/>
          <w:position w:val="0"/>
          <w:sz w:val="32"/>
          <w:szCs w:val="32"/>
          <w:shd w:val="clear"/>
          <w:lang w:val="en-US" w:eastAsia="zh-CN" w:bidi="ar-SA"/>
        </w:rPr>
        <w:t>“标准地”出让按照出让前准备、按标出让、审批服务、按标施建、对标验收、监督管理等环节组织实施（详见附件1)。企业上报供地申请后，</w:t>
      </w:r>
      <w:r>
        <w:rPr>
          <w:rFonts w:hint="eastAsia" w:ascii="仿宋_GB2312" w:hAnsi="仿宋_GB2312" w:eastAsia="仿宋_GB2312" w:cs="仿宋_GB2312"/>
          <w:color w:val="000000"/>
          <w:spacing w:val="0"/>
          <w:w w:val="100"/>
          <w:kern w:val="2"/>
          <w:position w:val="0"/>
          <w:sz w:val="32"/>
          <w:szCs w:val="32"/>
          <w:shd w:val="clear"/>
          <w:lang w:eastAsia="zh-CN" w:bidi="ar-SA"/>
        </w:rPr>
        <w:t>山丹城北工业</w:t>
      </w:r>
      <w:r>
        <w:rPr>
          <w:rFonts w:hint="eastAsia" w:ascii="仿宋_GB2312" w:hAnsi="仿宋_GB2312" w:eastAsia="仿宋_GB2312" w:cs="仿宋_GB2312"/>
          <w:color w:val="000000"/>
          <w:spacing w:val="0"/>
          <w:w w:val="100"/>
          <w:kern w:val="2"/>
          <w:position w:val="0"/>
          <w:sz w:val="32"/>
          <w:szCs w:val="32"/>
          <w:shd w:val="clear"/>
          <w:lang w:val="en-US" w:eastAsia="zh-CN" w:bidi="ar-SA"/>
        </w:rPr>
        <w:t>园区规划建设局提请出让议题在园区党工委会议研究确定，利用园区现有建设用地拟定“标准地”国有建设用地使用权出让方案，由县自然资源局审核报县政府批准后发布招拍挂出让公告，附带“标准地”控制性指标，并组织进行土地招拍挂。“标准化厂房”租赁按山丹县人民政府《关于高新技术企业孵化园标准化厂房综合办公楼及公租房租赁收费标准的批复》执行。</w:t>
      </w:r>
    </w:p>
    <w:p w14:paraId="35913EA1">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六、责任书签订及按标施建</w:t>
      </w:r>
    </w:p>
    <w:p w14:paraId="7B9B730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3" w:firstLineChars="200"/>
        <w:textAlignment w:val="auto"/>
        <w:rPr>
          <w:rFonts w:hint="eastAsia" w:ascii="楷体" w:hAnsi="楷体" w:eastAsia="楷体" w:cs="楷体"/>
          <w:b/>
          <w:bCs/>
          <w:sz w:val="32"/>
          <w:szCs w:val="32"/>
          <w:lang w:val="en-US" w:eastAsia="zh-CN"/>
        </w:rPr>
      </w:pPr>
      <w:r>
        <w:rPr>
          <w:rFonts w:hint="eastAsia" w:ascii="楷体_GB2312" w:hAnsi="楷体_GB2312" w:eastAsia="楷体_GB2312" w:cs="楷体_GB2312"/>
          <w:b/>
          <w:bCs/>
          <w:sz w:val="32"/>
          <w:szCs w:val="32"/>
          <w:lang w:val="en-US" w:eastAsia="zh-CN"/>
        </w:rPr>
        <w:t>1.责任书签订</w:t>
      </w:r>
    </w:p>
    <w:p w14:paraId="35783F3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竞得土地后，与山丹城北工业园区管委会签订《山丹城北工业园区项目“标准地”履约责任书》（详见附件2),并与县自然资源局签订《国有建设用地使用权出让合同》并按程序办理用地批复。企业入驻“标准化厂房”投资项目前，其租赁合同与山丹县工业园区投资开发有限公司按相关规定签订。</w:t>
      </w:r>
    </w:p>
    <w:p w14:paraId="52A4D1B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3" w:firstLineChars="200"/>
        <w:textAlignment w:val="auto"/>
        <w:rPr>
          <w:rFonts w:hint="eastAsia" w:ascii="楷体" w:hAnsi="楷体" w:eastAsia="楷体" w:cs="楷体"/>
          <w:b/>
          <w:bCs/>
          <w:sz w:val="32"/>
          <w:szCs w:val="32"/>
          <w:lang w:val="en-US" w:eastAsia="zh-CN"/>
        </w:rPr>
      </w:pPr>
      <w:r>
        <w:rPr>
          <w:rFonts w:hint="eastAsia" w:ascii="楷体_GB2312" w:hAnsi="楷体_GB2312" w:eastAsia="楷体_GB2312" w:cs="楷体_GB2312"/>
          <w:b/>
          <w:bCs/>
          <w:sz w:val="32"/>
          <w:szCs w:val="32"/>
          <w:lang w:val="en-US" w:eastAsia="zh-CN"/>
        </w:rPr>
        <w:t>2.按标施建</w:t>
      </w:r>
    </w:p>
    <w:p w14:paraId="7154C99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开工后，用地企业承担并落实工程建设主体责任和质量、安全、进度管理，确保按工程建设相关法律法规和建设计划实施。不能按期开工的，应提前30日向园区管委会提出延建申请，延期建设不得超过3个月。造成土地闲置的，县自然资源局按《闲置土地处置办法》进行处置。项目勘察设计、监理、施工单位应履行相关责任和义务，保障工程按标施建。</w:t>
      </w:r>
    </w:p>
    <w:p w14:paraId="78241C2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七、验收及管理 </w:t>
      </w:r>
    </w:p>
    <w:p w14:paraId="2B9114C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1.对标验收</w:t>
      </w:r>
    </w:p>
    <w:p w14:paraId="3745F77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投产后，县发改、自然资源局等相关部门按照《山丹城北工业园区项目“标准地”履约责任书》规定，对项目进行协同联动、联合验收。通过联合验收的，出具联合验收意见书；未通过联合验收的，由相关主管部门责令其限期整改，整改期最长不超过2个月。</w:t>
      </w:r>
    </w:p>
    <w:p w14:paraId="0247363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 监督管理</w:t>
      </w:r>
    </w:p>
    <w:p w14:paraId="075539A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根据“谁主管、谁负责”的原则，山丹城北工业园区各责任单位建立覆盖“标准地”项目审批、项目建设、联合验收等环节监督管理体系，实施全覆盖、全过程的联动协同监管。</w:t>
      </w:r>
    </w:p>
    <w:p w14:paraId="1862624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项目建设过程中，园区规划建设局牵头，经济发展局、招商服务中心、物流园管理服务中心及各职能部门重点监管企业是否按照约定的标准、设计要求施工建设。</w:t>
      </w:r>
    </w:p>
    <w:p w14:paraId="4789F28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建成后，由县发改、自然资源局等相关主管部门负责对照《山丹城北工业园区项目“标准地”履约责任书》约定的亩均固定资产投资强度进行复核。未达到约定要求的，根据相关规定进行处罚，并根据《山丹城北工业园区项目“标准地”履约责任书》责令项目业主缴纳违约金。</w:t>
      </w:r>
    </w:p>
    <w:p w14:paraId="443E7B5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pacing w:val="0"/>
          <w:w w:val="100"/>
          <w:kern w:val="2"/>
          <w:position w:val="0"/>
          <w:sz w:val="32"/>
          <w:szCs w:val="32"/>
          <w:shd w:val="clear"/>
          <w:lang w:eastAsia="zh-CN" w:bidi="ar-SA"/>
        </w:rPr>
        <w:t>山丹</w:t>
      </w:r>
      <w:r>
        <w:rPr>
          <w:rFonts w:hint="eastAsia" w:ascii="仿宋_GB2312" w:hAnsi="仿宋_GB2312" w:eastAsia="仿宋_GB2312" w:cs="仿宋_GB2312"/>
          <w:color w:val="auto"/>
          <w:sz w:val="32"/>
          <w:szCs w:val="32"/>
          <w:lang w:val="en-US" w:eastAsia="zh-CN"/>
        </w:rPr>
        <w:t>税务局</w:t>
      </w:r>
      <w:r>
        <w:rPr>
          <w:rFonts w:hint="eastAsia" w:ascii="仿宋_GB2312" w:hAnsi="仿宋_GB2312" w:eastAsia="仿宋_GB2312" w:cs="仿宋_GB2312"/>
          <w:color w:val="auto"/>
          <w:sz w:val="32"/>
          <w:szCs w:val="32"/>
        </w:rPr>
        <w:t>对照《</w:t>
      </w:r>
      <w:r>
        <w:rPr>
          <w:rFonts w:hint="eastAsia" w:ascii="仿宋_GB2312" w:hAnsi="仿宋_GB2312" w:eastAsia="仿宋_GB2312" w:cs="仿宋_GB2312"/>
          <w:color w:val="auto"/>
          <w:sz w:val="32"/>
          <w:szCs w:val="32"/>
          <w:lang w:eastAsia="zh-CN"/>
        </w:rPr>
        <w:t>山丹城北工业园区</w:t>
      </w:r>
      <w:r>
        <w:rPr>
          <w:rFonts w:hint="eastAsia" w:ascii="仿宋_GB2312" w:hAnsi="仿宋_GB2312" w:eastAsia="仿宋_GB2312" w:cs="仿宋_GB2312"/>
          <w:color w:val="auto"/>
          <w:sz w:val="32"/>
          <w:szCs w:val="32"/>
        </w:rPr>
        <w:t>项目“标准地”履约责任书》约定的亩均税收进行复核。亩均税收未达到承诺标准的，</w:t>
      </w:r>
      <w:r>
        <w:rPr>
          <w:rFonts w:hint="eastAsia" w:ascii="仿宋_GB2312" w:hAnsi="仿宋_GB2312" w:eastAsia="仿宋_GB2312" w:cs="仿宋_GB2312"/>
          <w:color w:val="auto"/>
          <w:sz w:val="32"/>
          <w:szCs w:val="32"/>
          <w:lang w:val="en-US" w:eastAsia="zh-CN"/>
        </w:rPr>
        <w:t>不享受园区扶持政策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并根据</w:t>
      </w:r>
      <w:r>
        <w:rPr>
          <w:rFonts w:hint="eastAsia" w:ascii="仿宋_GB2312" w:hAnsi="仿宋_GB2312" w:eastAsia="仿宋_GB2312" w:cs="仿宋_GB2312"/>
          <w:color w:val="auto"/>
          <w:sz w:val="32"/>
          <w:szCs w:val="32"/>
          <w:u w:val="single"/>
          <w:lang w:val="en-US" w:eastAsia="zh-CN"/>
        </w:rPr>
        <w:t>相关税收法律法规提醒企业按时申报缴纳税款，做好纳税辅导工作。</w:t>
      </w:r>
    </w:p>
    <w:p w14:paraId="2C2A731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县自然资源局会同</w:t>
      </w:r>
      <w:r>
        <w:rPr>
          <w:rFonts w:hint="eastAsia" w:ascii="仿宋_GB2312" w:hAnsi="仿宋_GB2312" w:eastAsia="仿宋_GB2312" w:cs="仿宋_GB2312"/>
          <w:color w:val="auto"/>
          <w:sz w:val="32"/>
          <w:szCs w:val="32"/>
          <w:lang w:eastAsia="zh-CN"/>
        </w:rPr>
        <w:t>山丹城北工业园区</w:t>
      </w:r>
      <w:r>
        <w:rPr>
          <w:rFonts w:hint="eastAsia" w:ascii="仿宋_GB2312" w:hAnsi="仿宋_GB2312" w:eastAsia="仿宋_GB2312" w:cs="仿宋_GB2312"/>
          <w:color w:val="auto"/>
          <w:sz w:val="32"/>
          <w:szCs w:val="32"/>
          <w:lang w:val="en-US" w:eastAsia="zh-CN"/>
        </w:rPr>
        <w:t>对照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山丹城北工业园区</w:t>
      </w:r>
      <w:r>
        <w:rPr>
          <w:rFonts w:hint="eastAsia" w:ascii="仿宋_GB2312" w:hAnsi="仿宋_GB2312" w:eastAsia="仿宋_GB2312" w:cs="仿宋_GB2312"/>
          <w:color w:val="auto"/>
          <w:sz w:val="32"/>
          <w:szCs w:val="32"/>
        </w:rPr>
        <w:t>项目“标准地”履约责任书》</w:t>
      </w:r>
      <w:r>
        <w:rPr>
          <w:rFonts w:hint="eastAsia" w:ascii="仿宋_GB2312" w:hAnsi="仿宋_GB2312" w:eastAsia="仿宋_GB2312" w:cs="仿宋_GB2312"/>
          <w:color w:val="auto"/>
          <w:sz w:val="32"/>
          <w:szCs w:val="32"/>
          <w:lang w:val="en-US" w:eastAsia="zh-CN"/>
        </w:rPr>
        <w:t>约定的规划设计、容积率、绿化率（项目主体竣工验收前完成绿化工作）进行复核，对不符合要求的限期3个月内进行整改，整改期限后仍达不到要求的不予办理规划验收，并对造成闲置用地的按照《闲置土地处置办法》要求进行收回。</w:t>
      </w:r>
    </w:p>
    <w:p w14:paraId="57344FF6">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87"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信用评价及容错机制</w:t>
      </w:r>
    </w:p>
    <w:p w14:paraId="2FD301D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3" w:firstLineChars="200"/>
        <w:textAlignment w:val="auto"/>
        <w:rPr>
          <w:rFonts w:hint="eastAsia" w:ascii="楷体" w:hAnsi="楷体" w:eastAsia="楷体" w:cs="楷体"/>
          <w:b/>
          <w:bCs/>
          <w:sz w:val="32"/>
          <w:szCs w:val="32"/>
          <w:lang w:val="en-US" w:eastAsia="zh-CN"/>
        </w:rPr>
      </w:pPr>
      <w:r>
        <w:rPr>
          <w:rFonts w:hint="eastAsia" w:ascii="楷体_GB2312" w:hAnsi="楷体_GB2312" w:eastAsia="楷体_GB2312" w:cs="楷体_GB2312"/>
          <w:b/>
          <w:bCs/>
          <w:sz w:val="32"/>
          <w:szCs w:val="32"/>
          <w:lang w:val="en-US" w:eastAsia="zh-CN"/>
        </w:rPr>
        <w:t>1.实行“标准地”信用奖惩评价</w:t>
      </w:r>
    </w:p>
    <w:p w14:paraId="6CC0E51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标准地”企业投资项目信用评价体系和严重失信名单制度。实施“标准地”企业投资项目全过程信用档案管理，对企业“标准地”承诺兑现结果进行信用评价，引导相关单位采用评价结果作为差别化用水、用电、用能、用地的重要参考，并将企业法人、法定代表人的承诺兑现情况纳入信用中国、信用张掖等信息平台并向社会公开。对未兑现承诺的，采取没收履约保证金、补齐承诺税款等措施;对严重失信的用地企业，采取“一票否决”式的信用联合惩戒;对如期履约、亩均税收高、示范效应好的企业，按规定给予相关扶持。</w:t>
      </w:r>
    </w:p>
    <w:p w14:paraId="39ECDA3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2.建立容错机制</w:t>
      </w:r>
    </w:p>
    <w:p w14:paraId="27C2D72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鼓励改革创新、支持履职担当，坚持包容审慎、依法公平公正”的原则，结合山丹城北工业园区实际，实行工业企业投资项目“标准地”改革容错免责机制，进一步营造鼓励改革创新、敢于担当、积极履职的良好氛围。</w:t>
      </w:r>
    </w:p>
    <w:p w14:paraId="5D851CEC">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九、附则</w:t>
      </w:r>
    </w:p>
    <w:p w14:paraId="621DD494">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val="en-US" w:eastAsia="zh-CN"/>
        </w:rPr>
        <w:t>细则</w:t>
      </w:r>
      <w:r>
        <w:rPr>
          <w:rFonts w:hint="eastAsia" w:ascii="仿宋_GB2312" w:hAnsi="仿宋_GB2312" w:eastAsia="仿宋_GB2312" w:cs="仿宋_GB2312"/>
          <w:color w:val="auto"/>
          <w:sz w:val="32"/>
          <w:szCs w:val="32"/>
        </w:rPr>
        <w:t>自印发之日起</w:t>
      </w:r>
      <w:r>
        <w:rPr>
          <w:rFonts w:hint="eastAsia" w:ascii="仿宋_GB2312" w:hAnsi="仿宋_GB2312" w:eastAsia="仿宋_GB2312" w:cs="仿宋_GB2312"/>
          <w:color w:val="auto"/>
          <w:sz w:val="32"/>
          <w:szCs w:val="32"/>
          <w:lang w:val="en-US" w:eastAsia="zh-CN"/>
        </w:rPr>
        <w:t>施行</w:t>
      </w:r>
      <w:r>
        <w:rPr>
          <w:rFonts w:hint="eastAsia" w:ascii="仿宋_GB2312" w:hAnsi="仿宋_GB2312" w:eastAsia="仿宋_GB2312" w:cs="仿宋_GB2312"/>
          <w:color w:val="auto"/>
          <w:sz w:val="32"/>
          <w:szCs w:val="32"/>
        </w:rPr>
        <w:t>。</w:t>
      </w:r>
    </w:p>
    <w:p w14:paraId="02DC5C1E">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color w:val="auto"/>
          <w:sz w:val="32"/>
          <w:szCs w:val="32"/>
        </w:rPr>
      </w:pPr>
    </w:p>
    <w:p w14:paraId="648AA469">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color w:val="auto"/>
          <w:w w:val="85"/>
          <w:sz w:val="32"/>
          <w:szCs w:val="32"/>
        </w:rPr>
      </w:pP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color w:val="000000"/>
          <w:spacing w:val="0"/>
          <w:w w:val="100"/>
          <w:kern w:val="2"/>
          <w:position w:val="0"/>
          <w:sz w:val="32"/>
          <w:szCs w:val="32"/>
          <w:shd w:val="clear"/>
          <w:lang w:eastAsia="zh-CN" w:bidi="ar-SA"/>
        </w:rPr>
        <w:t>山丹城北工业园区</w:t>
      </w:r>
      <w:r>
        <w:rPr>
          <w:rFonts w:hint="eastAsia" w:ascii="仿宋_GB2312" w:hAnsi="仿宋_GB2312" w:eastAsia="仿宋_GB2312" w:cs="仿宋_GB2312"/>
          <w:color w:val="auto"/>
          <w:w w:val="100"/>
          <w:sz w:val="32"/>
          <w:szCs w:val="32"/>
        </w:rPr>
        <w:t>项目“标准地”全过程流程图</w:t>
      </w:r>
    </w:p>
    <w:p w14:paraId="334BE322">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1600" w:firstLineChars="500"/>
        <w:jc w:val="both"/>
        <w:textAlignment w:val="auto"/>
        <w:rPr>
          <w:rFonts w:hint="eastAsia" w:ascii="仿宋_GB2312" w:hAnsi="仿宋_GB2312" w:eastAsia="仿宋_GB2312" w:cs="仿宋_GB2312"/>
          <w:color w:val="auto"/>
          <w:w w:val="100"/>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000000"/>
          <w:spacing w:val="0"/>
          <w:w w:val="100"/>
          <w:kern w:val="2"/>
          <w:position w:val="0"/>
          <w:sz w:val="32"/>
          <w:szCs w:val="32"/>
          <w:shd w:val="clear"/>
          <w:lang w:eastAsia="zh-CN" w:bidi="ar-SA"/>
        </w:rPr>
        <w:t>山丹城北工业园区</w:t>
      </w:r>
      <w:r>
        <w:rPr>
          <w:rFonts w:hint="eastAsia" w:ascii="仿宋_GB2312" w:hAnsi="仿宋_GB2312" w:eastAsia="仿宋_GB2312" w:cs="仿宋_GB2312"/>
          <w:color w:val="auto"/>
          <w:w w:val="100"/>
          <w:sz w:val="32"/>
          <w:szCs w:val="32"/>
          <w:lang w:val="en-US" w:eastAsia="zh-CN"/>
        </w:rPr>
        <w:t>项目“标准地”履约责任书</w:t>
      </w:r>
    </w:p>
    <w:p w14:paraId="7B80B5C8">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1600" w:firstLineChars="500"/>
        <w:jc w:val="both"/>
        <w:textAlignment w:val="auto"/>
        <w:rPr>
          <w:rFonts w:hint="eastAsia" w:ascii="仿宋_GB2312" w:hAnsi="仿宋_GB2312" w:eastAsia="仿宋_GB2312" w:cs="仿宋_GB2312"/>
          <w:color w:val="auto"/>
          <w:w w:val="85"/>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000000"/>
          <w:spacing w:val="0"/>
          <w:w w:val="100"/>
          <w:kern w:val="2"/>
          <w:position w:val="0"/>
          <w:sz w:val="32"/>
          <w:szCs w:val="32"/>
          <w:shd w:val="clear"/>
          <w:lang w:eastAsia="zh-CN" w:bidi="ar-SA"/>
        </w:rPr>
        <w:t>山丹城北工业园区</w:t>
      </w:r>
      <w:r>
        <w:rPr>
          <w:rFonts w:hint="eastAsia" w:ascii="仿宋_GB2312" w:hAnsi="仿宋_GB2312" w:eastAsia="仿宋_GB2312" w:cs="仿宋_GB2312"/>
          <w:color w:val="auto"/>
          <w:w w:val="100"/>
          <w:sz w:val="32"/>
          <w:szCs w:val="32"/>
          <w:lang w:val="en-US" w:eastAsia="zh-CN"/>
        </w:rPr>
        <w:t>项目“标准地”监督责任表</w:t>
      </w:r>
    </w:p>
    <w:p w14:paraId="0D759493">
      <w:pPr>
        <w:keepNext w:val="0"/>
        <w:keepLines w:val="0"/>
        <w:pageBreakBefore w:val="0"/>
        <w:widowControl w:val="0"/>
        <w:kinsoku/>
        <w:wordWrap/>
        <w:overflowPunct/>
        <w:topLinePunct w:val="0"/>
        <w:autoSpaceDE/>
        <w:autoSpaceDN/>
        <w:bidi w:val="0"/>
        <w:adjustRightInd/>
        <w:snapToGrid/>
        <w:spacing w:line="587" w:lineRule="exact"/>
        <w:ind w:firstLine="1600" w:firstLineChars="5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w w:val="100"/>
          <w:sz w:val="32"/>
          <w:szCs w:val="32"/>
          <w:lang w:val="en-US" w:eastAsia="zh-CN"/>
        </w:rPr>
        <w:t>4.</w:t>
      </w:r>
      <w:r>
        <w:rPr>
          <w:rFonts w:hint="eastAsia" w:ascii="仿宋_GB2312" w:hAnsi="仿宋_GB2312" w:eastAsia="仿宋_GB2312" w:cs="仿宋_GB2312"/>
          <w:color w:val="000000"/>
          <w:spacing w:val="0"/>
          <w:w w:val="100"/>
          <w:kern w:val="2"/>
          <w:position w:val="0"/>
          <w:sz w:val="32"/>
          <w:szCs w:val="32"/>
          <w:shd w:val="clear"/>
          <w:lang w:eastAsia="zh-CN" w:bidi="ar-SA"/>
        </w:rPr>
        <w:t>山丹城北工业园区</w:t>
      </w:r>
      <w:r>
        <w:rPr>
          <w:rFonts w:hint="eastAsia" w:ascii="仿宋_GB2312" w:hAnsi="仿宋_GB2312" w:eastAsia="仿宋_GB2312" w:cs="仿宋_GB2312"/>
          <w:color w:val="auto"/>
          <w:w w:val="100"/>
          <w:sz w:val="32"/>
          <w:szCs w:val="32"/>
          <w:lang w:val="en-US" w:eastAsia="zh-CN"/>
        </w:rPr>
        <w:t>区域评估事项</w:t>
      </w:r>
    </w:p>
    <w:p w14:paraId="0960FD66">
      <w:pPr>
        <w:keepNext w:val="0"/>
        <w:keepLines w:val="0"/>
        <w:pageBreakBefore w:val="0"/>
        <w:widowControl w:val="0"/>
        <w:kinsoku/>
        <w:wordWrap/>
        <w:overflowPunct/>
        <w:topLinePunct w:val="0"/>
        <w:bidi w:val="0"/>
        <w:snapToGrid/>
        <w:spacing w:line="587" w:lineRule="exact"/>
        <w:jc w:val="both"/>
        <w:rPr>
          <w:rFonts w:hint="eastAsia" w:ascii="黑体" w:hAnsi="黑体" w:eastAsia="黑体" w:cs="黑体"/>
          <w:b w:val="0"/>
          <w:bCs w:val="0"/>
          <w:color w:val="FF0000"/>
          <w:w w:val="95"/>
          <w:sz w:val="32"/>
          <w:szCs w:val="32"/>
          <w:lang w:val="en-US" w:eastAsia="zh-CN"/>
        </w:rPr>
      </w:pPr>
    </w:p>
    <w:p w14:paraId="58DF06A7">
      <w:pPr>
        <w:keepNext w:val="0"/>
        <w:keepLines w:val="0"/>
        <w:pageBreakBefore w:val="0"/>
        <w:widowControl w:val="0"/>
        <w:kinsoku/>
        <w:wordWrap/>
        <w:overflowPunct/>
        <w:topLinePunct w:val="0"/>
        <w:bidi w:val="0"/>
        <w:snapToGrid/>
        <w:spacing w:line="587" w:lineRule="exact"/>
        <w:jc w:val="both"/>
        <w:rPr>
          <w:rFonts w:hint="eastAsia" w:ascii="黑体" w:hAnsi="黑体" w:eastAsia="黑体" w:cs="黑体"/>
          <w:b w:val="0"/>
          <w:bCs w:val="0"/>
          <w:w w:val="95"/>
          <w:sz w:val="32"/>
          <w:szCs w:val="32"/>
          <w:lang w:val="en-US" w:eastAsia="zh-CN"/>
        </w:rPr>
      </w:pPr>
      <w:r>
        <w:rPr>
          <w:rFonts w:hint="default" w:ascii="黑体" w:hAnsi="黑体" w:eastAsia="黑体" w:cs="黑体"/>
          <w:b w:val="0"/>
          <w:bCs w:val="0"/>
          <w:sz w:val="32"/>
          <w:szCs w:val="32"/>
          <w:lang w:val="en" w:eastAsia="zh-CN"/>
        </w:rPr>
        <w:drawing>
          <wp:inline distT="0" distB="0" distL="114300" distR="114300">
            <wp:extent cx="5537200" cy="7487285"/>
            <wp:effectExtent l="0" t="0" r="6350" b="18415"/>
            <wp:docPr id="3" name="图片 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2"/>
                    <pic:cNvPicPr>
                      <a:picLocks noChangeAspect="1"/>
                    </pic:cNvPicPr>
                  </pic:nvPicPr>
                  <pic:blipFill>
                    <a:blip r:embed="rId7"/>
                    <a:stretch>
                      <a:fillRect/>
                    </a:stretch>
                  </pic:blipFill>
                  <pic:spPr>
                    <a:xfrm>
                      <a:off x="0" y="0"/>
                      <a:ext cx="5537200" cy="7487285"/>
                    </a:xfrm>
                    <a:prstGeom prst="rect">
                      <a:avLst/>
                    </a:prstGeom>
                  </pic:spPr>
                </pic:pic>
              </a:graphicData>
            </a:graphic>
          </wp:inline>
        </w:drawing>
      </w:r>
    </w:p>
    <w:p w14:paraId="0CEDAE91">
      <w:pPr>
        <w:pStyle w:val="2"/>
        <w:ind w:left="0" w:leftChars="0" w:firstLine="0" w:firstLineChars="0"/>
        <w:rPr>
          <w:rFonts w:hint="eastAsia" w:ascii="黑体" w:hAnsi="黑体" w:eastAsia="黑体" w:cs="黑体"/>
          <w:b w:val="0"/>
          <w:bCs w:val="0"/>
          <w:w w:val="95"/>
          <w:sz w:val="32"/>
          <w:szCs w:val="32"/>
          <w:lang w:val="en-US" w:eastAsia="zh-CN"/>
        </w:rPr>
      </w:pPr>
      <w:r>
        <w:rPr>
          <w:rFonts w:hint="eastAsia"/>
          <w:lang w:val="en-US" w:eastAsia="zh-CN"/>
        </w:rPr>
        <w:drawing>
          <wp:inline distT="0" distB="0" distL="114300" distR="114300">
            <wp:extent cx="5543550" cy="7486650"/>
            <wp:effectExtent l="0" t="0" r="3810" b="11430"/>
            <wp:docPr id="1" name="图片 1" descr="35F39D2E-0D90-41e1-8E00-53BD96EE6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F39D2E-0D90-41e1-8E00-53BD96EE6EE0"/>
                    <pic:cNvPicPr>
                      <a:picLocks noChangeAspect="1"/>
                    </pic:cNvPicPr>
                  </pic:nvPicPr>
                  <pic:blipFill>
                    <a:blip r:embed="rId8"/>
                    <a:stretch>
                      <a:fillRect/>
                    </a:stretch>
                  </pic:blipFill>
                  <pic:spPr>
                    <a:xfrm>
                      <a:off x="0" y="0"/>
                      <a:ext cx="5543550" cy="7486650"/>
                    </a:xfrm>
                    <a:prstGeom prst="rect">
                      <a:avLst/>
                    </a:prstGeom>
                  </pic:spPr>
                </pic:pic>
              </a:graphicData>
            </a:graphic>
          </wp:inline>
        </w:drawing>
      </w:r>
    </w:p>
    <w:p w14:paraId="02FD723F">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方正小标宋_GBK" w:hAnsi="方正小标宋_GBK" w:eastAsia="方正小标宋_GBK" w:cs="方正小标宋_GBK"/>
          <w:b w:val="0"/>
          <w:bCs w:val="0"/>
          <w:w w:val="95"/>
          <w:sz w:val="44"/>
          <w:szCs w:val="44"/>
          <w:lang w:val="en-US" w:eastAsia="zh-CN"/>
        </w:rPr>
      </w:pPr>
    </w:p>
    <w:p w14:paraId="41B76F56">
      <w:pPr>
        <w:keepNext w:val="0"/>
        <w:keepLines w:val="0"/>
        <w:pageBreakBefore w:val="0"/>
        <w:widowControl w:val="0"/>
        <w:shd w:val="clear" w:color="auto" w:fill="auto"/>
        <w:kinsoku/>
        <w:wordWrap/>
        <w:overflowPunct/>
        <w:topLinePunct w:val="0"/>
        <w:autoSpaceDE/>
        <w:autoSpaceDN/>
        <w:bidi w:val="0"/>
        <w:adjustRightInd/>
        <w:snapToGrid/>
        <w:spacing w:before="0" w:after="0" w:line="587" w:lineRule="exact"/>
        <w:ind w:left="0" w:right="0" w:firstLine="0"/>
        <w:jc w:val="center"/>
        <w:textAlignment w:val="auto"/>
        <w:outlineLvl w:val="9"/>
        <w:rPr>
          <w:rFonts w:hint="eastAsia" w:ascii="方正小标宋简体" w:hAnsi="Times New Roman" w:eastAsia="方正小标宋简体" w:cs="Times New Roman"/>
          <w:color w:val="000000"/>
          <w:spacing w:val="0"/>
          <w:w w:val="100"/>
          <w:kern w:val="2"/>
          <w:position w:val="0"/>
          <w:sz w:val="44"/>
          <w:szCs w:val="44"/>
          <w:shd w:val="clear"/>
          <w:lang w:val="en-US" w:eastAsia="zh-CN" w:bidi="ar-SA"/>
        </w:rPr>
      </w:pPr>
    </w:p>
    <w:p w14:paraId="1913611A">
      <w:pPr>
        <w:keepNext w:val="0"/>
        <w:keepLines w:val="0"/>
        <w:pageBreakBefore w:val="0"/>
        <w:widowControl w:val="0"/>
        <w:shd w:val="clear" w:color="auto" w:fill="auto"/>
        <w:kinsoku/>
        <w:wordWrap/>
        <w:overflowPunct/>
        <w:topLinePunct w:val="0"/>
        <w:autoSpaceDE/>
        <w:autoSpaceDN/>
        <w:bidi w:val="0"/>
        <w:adjustRightInd/>
        <w:snapToGrid/>
        <w:spacing w:before="0" w:after="0" w:line="587" w:lineRule="exact"/>
        <w:ind w:left="0" w:right="0" w:firstLine="0"/>
        <w:jc w:val="center"/>
        <w:textAlignment w:val="auto"/>
        <w:outlineLvl w:val="9"/>
        <w:rPr>
          <w:rFonts w:hint="eastAsia" w:ascii="方正小标宋简体" w:hAnsi="Times New Roman" w:eastAsia="方正小标宋简体" w:cs="Times New Roman"/>
          <w:color w:val="000000"/>
          <w:spacing w:val="0"/>
          <w:w w:val="100"/>
          <w:kern w:val="2"/>
          <w:position w:val="0"/>
          <w:sz w:val="44"/>
          <w:szCs w:val="44"/>
          <w:shd w:val="clear"/>
          <w:lang w:val="en-US" w:eastAsia="zh-CN" w:bidi="ar-SA"/>
        </w:rPr>
      </w:pPr>
    </w:p>
    <w:p w14:paraId="6415EFE0">
      <w:pPr>
        <w:keepNext w:val="0"/>
        <w:keepLines w:val="0"/>
        <w:pageBreakBefore w:val="0"/>
        <w:widowControl w:val="0"/>
        <w:shd w:val="clear" w:color="auto" w:fill="auto"/>
        <w:kinsoku/>
        <w:wordWrap/>
        <w:overflowPunct/>
        <w:topLinePunct w:val="0"/>
        <w:autoSpaceDE/>
        <w:autoSpaceDN/>
        <w:bidi w:val="0"/>
        <w:adjustRightInd/>
        <w:snapToGrid/>
        <w:spacing w:before="0" w:after="0" w:line="587" w:lineRule="exact"/>
        <w:ind w:left="0" w:right="0" w:firstLine="0"/>
        <w:jc w:val="center"/>
        <w:textAlignment w:val="auto"/>
        <w:outlineLvl w:val="9"/>
        <w:rPr>
          <w:rFonts w:hint="eastAsia" w:ascii="方正小标宋简体" w:hAnsi="Times New Roman" w:eastAsia="方正小标宋简体" w:cs="Times New Roman"/>
          <w:color w:val="000000"/>
          <w:spacing w:val="0"/>
          <w:w w:val="100"/>
          <w:kern w:val="2"/>
          <w:position w:val="0"/>
          <w:sz w:val="44"/>
          <w:szCs w:val="44"/>
          <w:shd w:val="clear"/>
          <w:lang w:val="en-US" w:eastAsia="zh-CN" w:bidi="ar-SA"/>
        </w:rPr>
      </w:pPr>
      <w:r>
        <w:rPr>
          <w:rFonts w:hint="eastAsia" w:ascii="方正小标宋简体" w:hAnsi="Times New Roman" w:eastAsia="方正小标宋简体" w:cs="Times New Roman"/>
          <w:color w:val="000000"/>
          <w:spacing w:val="0"/>
          <w:w w:val="100"/>
          <w:kern w:val="2"/>
          <w:position w:val="0"/>
          <w:sz w:val="44"/>
          <w:szCs w:val="44"/>
          <w:shd w:val="clear"/>
          <w:lang w:val="en-US" w:eastAsia="zh-CN" w:bidi="ar-SA"/>
        </w:rPr>
        <w:t>山丹城北工业园区</w:t>
      </w:r>
    </w:p>
    <w:p w14:paraId="3CBF2BA3">
      <w:pPr>
        <w:keepNext w:val="0"/>
        <w:keepLines w:val="0"/>
        <w:pageBreakBefore w:val="0"/>
        <w:widowControl w:val="0"/>
        <w:shd w:val="clear" w:color="auto" w:fill="auto"/>
        <w:kinsoku/>
        <w:wordWrap/>
        <w:overflowPunct/>
        <w:topLinePunct w:val="0"/>
        <w:autoSpaceDE/>
        <w:autoSpaceDN/>
        <w:bidi w:val="0"/>
        <w:adjustRightInd/>
        <w:snapToGrid/>
        <w:spacing w:before="0" w:after="0" w:line="587" w:lineRule="exact"/>
        <w:ind w:left="0" w:right="0" w:firstLine="0"/>
        <w:jc w:val="center"/>
        <w:textAlignment w:val="auto"/>
        <w:outlineLvl w:val="9"/>
        <w:rPr>
          <w:rFonts w:hint="default" w:ascii="方正小标宋简体" w:eastAsia="方正小标宋简体" w:cs="Times New Roman"/>
          <w:color w:val="000000"/>
          <w:spacing w:val="0"/>
          <w:w w:val="100"/>
          <w:kern w:val="2"/>
          <w:position w:val="0"/>
          <w:sz w:val="44"/>
          <w:szCs w:val="44"/>
          <w:shd w:val="clear"/>
          <w:lang w:val="en" w:eastAsia="zh-CN" w:bidi="ar-SA"/>
        </w:rPr>
      </w:pPr>
      <w:r>
        <w:rPr>
          <w:rFonts w:hint="eastAsia" w:ascii="方正小标宋简体" w:hAnsi="Times New Roman" w:eastAsia="方正小标宋简体" w:cs="Times New Roman"/>
          <w:color w:val="000000"/>
          <w:spacing w:val="0"/>
          <w:w w:val="100"/>
          <w:kern w:val="2"/>
          <w:position w:val="0"/>
          <w:sz w:val="44"/>
          <w:szCs w:val="44"/>
          <w:shd w:val="clear"/>
          <w:lang w:val="en-US" w:eastAsia="zh-CN" w:bidi="ar-SA"/>
        </w:rPr>
        <w:t>项目“标准地”履约责任书</w:t>
      </w:r>
      <w:r>
        <w:rPr>
          <w:rFonts w:hint="default" w:ascii="方正小标宋简体" w:eastAsia="方正小标宋简体" w:cs="Times New Roman"/>
          <w:color w:val="000000"/>
          <w:spacing w:val="0"/>
          <w:w w:val="100"/>
          <w:kern w:val="2"/>
          <w:position w:val="0"/>
          <w:sz w:val="44"/>
          <w:szCs w:val="44"/>
          <w:shd w:val="clear"/>
          <w:lang w:val="en" w:eastAsia="zh-CN" w:bidi="ar-SA"/>
        </w:rPr>
        <w:t xml:space="preserve"> </w:t>
      </w:r>
    </w:p>
    <w:p w14:paraId="6B45188A">
      <w:pPr>
        <w:pStyle w:val="2"/>
        <w:keepNext w:val="0"/>
        <w:keepLines w:val="0"/>
        <w:pageBreakBefore w:val="0"/>
        <w:widowControl w:val="0"/>
        <w:kinsoku/>
        <w:wordWrap/>
        <w:overflowPunct/>
        <w:topLinePunct w:val="0"/>
        <w:bidi w:val="0"/>
        <w:snapToGrid/>
        <w:spacing w:line="587" w:lineRule="exact"/>
        <w:rPr>
          <w:rFonts w:hint="default"/>
          <w:lang w:val="en" w:eastAsia="zh-CN"/>
        </w:rPr>
      </w:pPr>
    </w:p>
    <w:p w14:paraId="7025D9F2">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责任书编号：</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 xml:space="preserve">     </w:t>
      </w:r>
    </w:p>
    <w:p w14:paraId="299EDB63">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sz w:val="32"/>
          <w:szCs w:val="32"/>
          <w:lang w:val="en-US" w:eastAsia="zh-CN"/>
        </w:rPr>
      </w:pPr>
    </w:p>
    <w:p w14:paraId="7AF60EAC">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仿宋_GB2312" w:hAnsi="仿宋_GB2312" w:eastAsia="仿宋_GB2312" w:cs="仿宋_GB2312"/>
          <w:b w:val="0"/>
          <w:bCs w:val="0"/>
          <w:sz w:val="32"/>
          <w:szCs w:val="32"/>
          <w:lang w:val="en-US" w:eastAsia="zh-CN"/>
        </w:rPr>
      </w:pPr>
    </w:p>
    <w:p w14:paraId="25C15F1F">
      <w:pPr>
        <w:pStyle w:val="2"/>
        <w:keepNext w:val="0"/>
        <w:keepLines w:val="0"/>
        <w:pageBreakBefore w:val="0"/>
        <w:widowControl w:val="0"/>
        <w:kinsoku/>
        <w:wordWrap/>
        <w:overflowPunct/>
        <w:topLinePunct w:val="0"/>
        <w:bidi w:val="0"/>
        <w:snapToGrid/>
        <w:spacing w:line="587" w:lineRule="exact"/>
        <w:ind w:left="0" w:leftChars="0" w:firstLine="0" w:firstLineChars="0"/>
        <w:rPr>
          <w:rFonts w:hint="eastAsia" w:ascii="仿宋_GB2312" w:hAnsi="仿宋_GB2312" w:eastAsia="仿宋_GB2312" w:cs="仿宋_GB2312"/>
          <w:b w:val="0"/>
          <w:bCs w:val="0"/>
          <w:sz w:val="32"/>
          <w:szCs w:val="32"/>
          <w:lang w:val="en-US" w:eastAsia="zh-CN"/>
        </w:rPr>
      </w:pPr>
    </w:p>
    <w:p w14:paraId="129D07E9">
      <w:pPr>
        <w:pStyle w:val="3"/>
        <w:keepNext w:val="0"/>
        <w:keepLines w:val="0"/>
        <w:pageBreakBefore w:val="0"/>
        <w:widowControl w:val="0"/>
        <w:kinsoku/>
        <w:wordWrap/>
        <w:overflowPunct/>
        <w:topLinePunct w:val="0"/>
        <w:bidi w:val="0"/>
        <w:snapToGrid/>
        <w:spacing w:line="587" w:lineRule="exact"/>
        <w:rPr>
          <w:rFonts w:hint="eastAsia"/>
          <w:lang w:val="en-US" w:eastAsia="zh-CN"/>
        </w:rPr>
      </w:pPr>
    </w:p>
    <w:p w14:paraId="7DEF8117">
      <w:pPr>
        <w:pStyle w:val="3"/>
        <w:keepNext w:val="0"/>
        <w:keepLines w:val="0"/>
        <w:pageBreakBefore w:val="0"/>
        <w:widowControl w:val="0"/>
        <w:kinsoku/>
        <w:wordWrap/>
        <w:overflowPunct/>
        <w:topLinePunct w:val="0"/>
        <w:bidi w:val="0"/>
        <w:snapToGrid/>
        <w:spacing w:line="587" w:lineRule="exact"/>
        <w:rPr>
          <w:rFonts w:hint="eastAsia"/>
          <w:lang w:val="en-US" w:eastAsia="zh-CN"/>
        </w:rPr>
      </w:pPr>
    </w:p>
    <w:p w14:paraId="3119C551">
      <w:pPr>
        <w:keepNext w:val="0"/>
        <w:keepLines w:val="0"/>
        <w:pageBreakBefore w:val="0"/>
        <w:widowControl w:val="0"/>
        <w:kinsoku/>
        <w:wordWrap/>
        <w:overflowPunct/>
        <w:topLinePunct w:val="0"/>
        <w:bidi w:val="0"/>
        <w:snapToGrid/>
        <w:spacing w:line="587" w:lineRule="exact"/>
        <w:jc w:val="both"/>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lang w:val="en-US" w:eastAsia="zh-CN"/>
        </w:rPr>
        <w:t>甲    方：</w:t>
      </w:r>
      <w:r>
        <w:rPr>
          <w:rFonts w:hint="eastAsia" w:ascii="仿宋_GB2312" w:hAnsi="仿宋_GB2312" w:eastAsia="仿宋_GB2312" w:cs="仿宋_GB2312"/>
          <w:b w:val="0"/>
          <w:bCs w:val="0"/>
          <w:sz w:val="32"/>
          <w:szCs w:val="32"/>
          <w:u w:val="single"/>
          <w:lang w:val="en-US" w:eastAsia="zh-CN"/>
        </w:rPr>
        <w:t xml:space="preserve">                                                </w:t>
      </w:r>
    </w:p>
    <w:p w14:paraId="103A7785">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b w:val="0"/>
          <w:bCs w:val="0"/>
          <w:sz w:val="32"/>
          <w:szCs w:val="32"/>
          <w:u w:val="none"/>
          <w:lang w:val="en-US" w:eastAsia="zh-CN"/>
        </w:rPr>
      </w:pPr>
    </w:p>
    <w:p w14:paraId="0897DD50">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b w:val="0"/>
          <w:bCs w:val="0"/>
          <w:sz w:val="32"/>
          <w:szCs w:val="32"/>
          <w:u w:val="none"/>
          <w:lang w:val="en-US" w:eastAsia="zh-CN"/>
        </w:rPr>
      </w:pPr>
    </w:p>
    <w:p w14:paraId="251090FB">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乙    方：</w:t>
      </w:r>
      <w:r>
        <w:rPr>
          <w:rFonts w:hint="eastAsia" w:ascii="仿宋_GB2312" w:hAnsi="仿宋_GB2312" w:eastAsia="仿宋_GB2312" w:cs="仿宋_GB2312"/>
          <w:b w:val="0"/>
          <w:bCs w:val="0"/>
          <w:sz w:val="32"/>
          <w:szCs w:val="32"/>
          <w:u w:val="single"/>
          <w:lang w:val="en-US" w:eastAsia="zh-CN"/>
        </w:rPr>
        <w:t xml:space="preserve">                                              </w:t>
      </w:r>
    </w:p>
    <w:p w14:paraId="6CE2FF63">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b w:val="0"/>
          <w:bCs w:val="0"/>
          <w:sz w:val="32"/>
          <w:szCs w:val="32"/>
          <w:u w:val="none"/>
          <w:lang w:val="en-US" w:eastAsia="zh-CN"/>
        </w:rPr>
      </w:pPr>
    </w:p>
    <w:p w14:paraId="6FB26580">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b w:val="0"/>
          <w:bCs w:val="0"/>
          <w:sz w:val="32"/>
          <w:szCs w:val="32"/>
          <w:u w:val="none"/>
          <w:lang w:val="en-US" w:eastAsia="zh-CN"/>
        </w:rPr>
      </w:pPr>
    </w:p>
    <w:p w14:paraId="73759074">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联 系 人：</w:t>
      </w:r>
      <w:r>
        <w:rPr>
          <w:rFonts w:hint="eastAsia" w:ascii="仿宋_GB2312" w:hAnsi="仿宋_GB2312" w:eastAsia="仿宋_GB2312" w:cs="仿宋_GB2312"/>
          <w:b w:val="0"/>
          <w:bCs w:val="0"/>
          <w:sz w:val="32"/>
          <w:szCs w:val="32"/>
          <w:u w:val="single"/>
          <w:lang w:val="en-US" w:eastAsia="zh-CN"/>
        </w:rPr>
        <w:t xml:space="preserve">                                              </w:t>
      </w:r>
    </w:p>
    <w:p w14:paraId="2AE16711">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b w:val="0"/>
          <w:bCs w:val="0"/>
          <w:sz w:val="32"/>
          <w:szCs w:val="32"/>
          <w:u w:val="none"/>
          <w:lang w:val="en-US" w:eastAsia="zh-CN"/>
        </w:rPr>
      </w:pPr>
    </w:p>
    <w:p w14:paraId="4064F0D2">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b w:val="0"/>
          <w:bCs w:val="0"/>
          <w:sz w:val="32"/>
          <w:szCs w:val="32"/>
          <w:u w:val="none"/>
          <w:lang w:val="en-US" w:eastAsia="zh-CN"/>
        </w:rPr>
      </w:pPr>
    </w:p>
    <w:p w14:paraId="40300EA7">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黑体" w:hAnsi="黑体" w:eastAsia="黑体" w:cs="黑体"/>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联系电话：</w:t>
      </w:r>
      <w:r>
        <w:rPr>
          <w:rFonts w:hint="eastAsia" w:ascii="仿宋_GB2312" w:hAnsi="仿宋_GB2312" w:eastAsia="仿宋_GB2312" w:cs="仿宋_GB2312"/>
          <w:b w:val="0"/>
          <w:bCs w:val="0"/>
          <w:sz w:val="32"/>
          <w:szCs w:val="32"/>
          <w:u w:val="single"/>
          <w:lang w:val="en-US" w:eastAsia="zh-CN"/>
        </w:rPr>
        <w:t xml:space="preserve">                                             </w:t>
      </w:r>
    </w:p>
    <w:p w14:paraId="793923A6">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第一章 总则</w:t>
      </w:r>
    </w:p>
    <w:p w14:paraId="48557FAC">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 xml:space="preserve">第一条 </w:t>
      </w:r>
      <w:r>
        <w:rPr>
          <w:rFonts w:hint="eastAsia" w:ascii="仿宋_GB2312" w:hAnsi="仿宋_GB2312" w:eastAsia="仿宋_GB2312" w:cs="仿宋_GB2312"/>
          <w:b w:val="0"/>
          <w:bCs w:val="0"/>
          <w:sz w:val="32"/>
          <w:szCs w:val="32"/>
          <w:u w:val="none"/>
          <w:lang w:val="en-US" w:eastAsia="zh-CN"/>
        </w:rPr>
        <w:t>根据《中华人民共和国民法典》《中华人民共和国土地管理法》等有关法律、行政法规的规定，本着平等、自愿、诚实守信的原则，经双方协商一致，订立本责任书。</w:t>
      </w:r>
    </w:p>
    <w:p w14:paraId="26B5D8F2">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第二章 基本情况</w:t>
      </w:r>
    </w:p>
    <w:p w14:paraId="724CCD86">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第二条</w:t>
      </w:r>
      <w:r>
        <w:rPr>
          <w:rFonts w:hint="eastAsia" w:ascii="仿宋_GB2312" w:hAnsi="仿宋_GB2312" w:eastAsia="仿宋_GB2312" w:cs="仿宋_GB2312"/>
          <w:b w:val="0"/>
          <w:bCs w:val="0"/>
          <w:sz w:val="32"/>
          <w:szCs w:val="32"/>
          <w:u w:val="none"/>
          <w:lang w:val="en-US" w:eastAsia="zh-CN"/>
        </w:rPr>
        <w:t xml:space="preserve"> 本责任书项下宗地编号：</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，宗地总面积</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亩（</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平方米），本责任书项下宗地坐落：</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 xml:space="preserve"> 。</w:t>
      </w:r>
    </w:p>
    <w:p w14:paraId="388C26ED">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第三条</w:t>
      </w:r>
      <w:r>
        <w:rPr>
          <w:rFonts w:hint="eastAsia" w:ascii="仿宋_GB2312" w:hAnsi="仿宋_GB2312" w:eastAsia="仿宋_GB2312" w:cs="仿宋_GB2312"/>
          <w:b w:val="0"/>
          <w:bCs w:val="0"/>
          <w:sz w:val="32"/>
          <w:szCs w:val="32"/>
          <w:u w:val="none"/>
          <w:lang w:val="en-US" w:eastAsia="zh-CN"/>
        </w:rPr>
        <w:t xml:space="preserve"> 乙方同意本责任书项下宗地建设项目在</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年＿ 月</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 xml:space="preserve">日之前开工，在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年</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日之前竣工。乙方不能按期开工，应及时通知甲方，并提前30日向</w:t>
      </w:r>
      <w:r>
        <w:rPr>
          <w:rFonts w:hint="eastAsia" w:ascii="仿宋_GB2312" w:hAnsi="仿宋_GB2312" w:eastAsia="仿宋_GB2312" w:cs="仿宋_GB2312"/>
          <w:color w:val="000000"/>
          <w:sz w:val="32"/>
          <w:szCs w:val="32"/>
          <w:lang w:eastAsia="zh-CN"/>
        </w:rPr>
        <w:t>山丹城北工业园区规划</w:t>
      </w:r>
      <w:r>
        <w:rPr>
          <w:rFonts w:hint="eastAsia" w:ascii="仿宋_GB2312" w:hAnsi="仿宋_GB2312" w:eastAsia="仿宋_GB2312" w:cs="仿宋_GB2312"/>
          <w:b w:val="0"/>
          <w:bCs w:val="0"/>
          <w:sz w:val="32"/>
          <w:szCs w:val="32"/>
          <w:u w:val="none"/>
          <w:lang w:val="en-US" w:eastAsia="zh-CN"/>
        </w:rPr>
        <w:t>建设局提出延期建设申请，经同意延期建设的，其项目竣工时间相应顺延，但延期建设期限不得超过3个月。</w:t>
      </w:r>
    </w:p>
    <w:p w14:paraId="518871B6">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第四条</w:t>
      </w:r>
      <w:r>
        <w:rPr>
          <w:rFonts w:hint="eastAsia" w:ascii="仿宋_GB2312" w:hAnsi="仿宋_GB2312" w:eastAsia="仿宋_GB2312" w:cs="仿宋_GB2312"/>
          <w:b w:val="0"/>
          <w:bCs w:val="0"/>
          <w:sz w:val="32"/>
          <w:szCs w:val="32"/>
          <w:u w:val="none"/>
          <w:lang w:val="en-US" w:eastAsia="zh-CN"/>
        </w:rPr>
        <w:t xml:space="preserve"> 乙方同意本责任书项下宗地建设项目在</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年＿月</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日之前达产。</w:t>
      </w:r>
    </w:p>
    <w:p w14:paraId="56F4AF06">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第三章 控制性指标要求</w:t>
      </w:r>
    </w:p>
    <w:p w14:paraId="3296FA4A">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80" w:leftChars="200" w:firstLine="0" w:firstLineChars="0"/>
        <w:jc w:val="both"/>
        <w:textAlignment w:val="auto"/>
        <w:rPr>
          <w:rFonts w:hint="eastAsia" w:ascii="仿宋_GB2312" w:hAnsi="仿宋_GB2312" w:eastAsia="仿宋_GB2312" w:cs="仿宋_GB2312"/>
          <w:b w:val="0"/>
          <w:bCs w:val="0"/>
          <w:sz w:val="32"/>
          <w:szCs w:val="32"/>
          <w:u w:val="single"/>
          <w:lang w:val="en-US" w:eastAsia="zh-CN"/>
        </w:rPr>
      </w:pPr>
      <w:r>
        <w:rPr>
          <w:rFonts w:hint="eastAsia" w:ascii="楷体" w:hAnsi="楷体" w:eastAsia="楷体" w:cs="楷体"/>
          <w:b/>
          <w:bCs/>
          <w:sz w:val="32"/>
          <w:szCs w:val="32"/>
          <w:u w:val="none"/>
          <w:lang w:val="en-US" w:eastAsia="zh-CN"/>
        </w:rPr>
        <w:t>第五条</w:t>
      </w:r>
      <w:r>
        <w:rPr>
          <w:rFonts w:hint="eastAsia" w:ascii="仿宋_GB2312" w:hAnsi="仿宋_GB2312" w:eastAsia="仿宋_GB2312" w:cs="仿宋_GB2312"/>
          <w:b w:val="0"/>
          <w:bCs w:val="0"/>
          <w:sz w:val="32"/>
          <w:szCs w:val="32"/>
          <w:u w:val="none"/>
          <w:lang w:val="en-US" w:eastAsia="zh-CN"/>
        </w:rPr>
        <w:t xml:space="preserve"> 本责任书项下宗地建设项目应符合下列标准要求：（一）投资项目亩均固定资产投资强度不得低于人民币大写</w:t>
      </w:r>
      <w:r>
        <w:rPr>
          <w:rFonts w:hint="eastAsia" w:ascii="仿宋_GB2312" w:hAnsi="仿宋_GB2312" w:eastAsia="仿宋_GB2312" w:cs="仿宋_GB2312"/>
          <w:b w:val="0"/>
          <w:bCs w:val="0"/>
          <w:sz w:val="32"/>
          <w:szCs w:val="32"/>
          <w:u w:val="single"/>
          <w:lang w:val="en-US" w:eastAsia="zh-CN"/>
        </w:rPr>
        <w:t xml:space="preserve">    </w:t>
      </w:r>
    </w:p>
    <w:p w14:paraId="2174AD20">
      <w:pPr>
        <w:keepNext w:val="0"/>
        <w:keepLines w:val="0"/>
        <w:pageBreakBefore w:val="0"/>
        <w:widowControl w:val="0"/>
        <w:numPr>
          <w:ilvl w:val="0"/>
          <w:numId w:val="0"/>
        </w:numPr>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万元／亩（小写</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万元／亩）；</w:t>
      </w:r>
    </w:p>
    <w:p w14:paraId="0DB0FFCE">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（二）项目建筑容积率不低于</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 xml:space="preserve"> ；</w:t>
      </w:r>
    </w:p>
    <w:p w14:paraId="75F71009">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（三）项目绿化率不低于</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 xml:space="preserve"> ；</w:t>
      </w:r>
    </w:p>
    <w:p w14:paraId="1EEE958D">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（四）项目达产后亩均税收不低于人民币大写</w:t>
      </w:r>
      <w:r>
        <w:rPr>
          <w:rFonts w:hint="eastAsia" w:ascii="仿宋_GB2312" w:hAnsi="仿宋_GB2312" w:eastAsia="仿宋_GB2312" w:cs="仿宋_GB2312"/>
          <w:b w:val="0"/>
          <w:bCs w:val="0"/>
          <w:sz w:val="32"/>
          <w:szCs w:val="32"/>
          <w:u w:val="single"/>
          <w:lang w:val="en-US" w:eastAsia="zh-CN"/>
        </w:rPr>
        <w:t xml:space="preserve">         </w:t>
      </w:r>
    </w:p>
    <w:p w14:paraId="106F1A60">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万元/亩（小写</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万元／亩）；</w:t>
      </w:r>
    </w:p>
    <w:p w14:paraId="66873D0A">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第四章 甲方权利和义务</w:t>
      </w:r>
    </w:p>
    <w:p w14:paraId="1A342E29">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第六条</w:t>
      </w:r>
      <w:r>
        <w:rPr>
          <w:rFonts w:hint="eastAsia" w:ascii="仿宋_GB2312" w:hAnsi="仿宋_GB2312" w:eastAsia="仿宋_GB2312" w:cs="仿宋_GB2312"/>
          <w:b w:val="0"/>
          <w:bCs w:val="0"/>
          <w:sz w:val="32"/>
          <w:szCs w:val="32"/>
          <w:u w:val="none"/>
          <w:lang w:val="en-US" w:eastAsia="zh-CN"/>
        </w:rPr>
        <w:t xml:space="preserve"> 就甲方义务做如下约定：</w:t>
      </w:r>
    </w:p>
    <w:p w14:paraId="1651C21D">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（一）确保地块具备项目动工开发所必须的“七通一平”</w:t>
      </w:r>
    </w:p>
    <w:p w14:paraId="7F15E851">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基础条件；</w:t>
      </w:r>
    </w:p>
    <w:p w14:paraId="614640C7">
      <w:pPr>
        <w:keepNext w:val="0"/>
        <w:keepLines w:val="0"/>
        <w:pageBreakBefore w:val="0"/>
        <w:widowControl w:val="0"/>
        <w:shd w:val="clear" w:color="auto" w:fill="auto"/>
        <w:kinsoku/>
        <w:wordWrap/>
        <w:overflowPunct/>
        <w:topLinePunct w:val="0"/>
        <w:autoSpaceDE/>
        <w:autoSpaceDN/>
        <w:bidi w:val="0"/>
        <w:adjustRightInd/>
        <w:snapToGrid/>
        <w:spacing w:line="587" w:lineRule="exact"/>
        <w:ind w:firstLine="640" w:firstLineChars="200"/>
        <w:jc w:val="both"/>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（二）督促入驻生产建设单位严格按照区域评估报告要求落实各项水土保持措施;（水务局建议）</w:t>
      </w:r>
    </w:p>
    <w:p w14:paraId="6A557129">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（三）协调各</w:t>
      </w:r>
      <w:r>
        <w:rPr>
          <w:rFonts w:hint="eastAsia" w:ascii="仿宋_GB2312" w:hAnsi="仿宋_GB2312" w:eastAsia="仿宋_GB2312" w:cs="仿宋_GB2312"/>
          <w:b w:val="0"/>
          <w:bCs w:val="0"/>
          <w:sz w:val="32"/>
          <w:szCs w:val="32"/>
          <w:u w:val="none"/>
          <w:lang w:val="en-US" w:eastAsia="zh-CN"/>
        </w:rPr>
        <w:t>职能部门为乙方办理项目手续；</w:t>
      </w:r>
    </w:p>
    <w:p w14:paraId="2DC2F7D0">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（四）协调相关部门，对照本责任书第五条各项规定条件对</w:t>
      </w:r>
      <w:r>
        <w:rPr>
          <w:rFonts w:hint="eastAsia" w:ascii="仿宋_GB2312" w:hAnsi="仿宋_GB2312" w:eastAsia="仿宋_GB2312" w:cs="仿宋_GB2312"/>
          <w:b w:val="0"/>
          <w:bCs w:val="0"/>
          <w:spacing w:val="-6"/>
          <w:sz w:val="32"/>
          <w:szCs w:val="32"/>
          <w:u w:val="none"/>
          <w:lang w:val="en-US" w:eastAsia="zh-CN"/>
        </w:rPr>
        <w:t>乙方实施的建设项目在企业申请联合验收后30日内完成联合验收</w:t>
      </w:r>
      <w:r>
        <w:rPr>
          <w:rFonts w:hint="eastAsia" w:ascii="仿宋_GB2312" w:hAnsi="仿宋_GB2312" w:eastAsia="仿宋_GB2312" w:cs="仿宋_GB2312"/>
          <w:b w:val="0"/>
          <w:bCs w:val="0"/>
          <w:sz w:val="32"/>
          <w:szCs w:val="32"/>
          <w:u w:val="none"/>
          <w:lang w:val="en-US" w:eastAsia="zh-CN"/>
        </w:rPr>
        <w:t>；</w:t>
      </w:r>
    </w:p>
    <w:p w14:paraId="011FDF2F">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（五）按照本责任书第五条开展对标验收；</w:t>
      </w:r>
    </w:p>
    <w:p w14:paraId="6A5848EC">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（六）其他：</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 xml:space="preserve"> 。 </w:t>
      </w:r>
    </w:p>
    <w:p w14:paraId="62406DAA">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第五章 乙方权利和义务</w:t>
      </w:r>
    </w:p>
    <w:p w14:paraId="22217039">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第七条</w:t>
      </w:r>
      <w:r>
        <w:rPr>
          <w:rFonts w:hint="eastAsia" w:ascii="仿宋_GB2312" w:hAnsi="仿宋_GB2312" w:eastAsia="仿宋_GB2312" w:cs="仿宋_GB2312"/>
          <w:b w:val="0"/>
          <w:bCs w:val="0"/>
          <w:sz w:val="32"/>
          <w:szCs w:val="32"/>
          <w:u w:val="none"/>
          <w:lang w:val="en-US" w:eastAsia="zh-CN"/>
        </w:rPr>
        <w:t xml:space="preserve"> 就乙方义务做如下约定：</w:t>
      </w:r>
    </w:p>
    <w:p w14:paraId="0C1406B3">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（一）承担诚实守信、勤勉尽责义务，严格遵守国家和省上相关法律法规、政策和标准。本企业违反本责任书的，自愿承担相应违约责任，由此产生的任何法律责任和违约责任均由本企业自行承担，与甲方无关；</w:t>
      </w:r>
    </w:p>
    <w:p w14:paraId="388B24A0">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default"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（二）</w:t>
      </w:r>
      <w:r>
        <w:rPr>
          <w:rFonts w:hint="eastAsia" w:ascii="仿宋_GB2312" w:hAnsi="仿宋_GB2312" w:eastAsia="仿宋_GB2312" w:cs="仿宋_GB2312"/>
          <w:b w:val="0"/>
          <w:bCs w:val="0"/>
          <w:sz w:val="32"/>
          <w:szCs w:val="32"/>
          <w:u w:val="single"/>
          <w:lang w:val="en-US" w:eastAsia="zh-CN"/>
        </w:rPr>
        <w:t>依法组织编报水土保持方案，组织开展水土保持方案的后续设计，保障水土保持措施落实经费，纳入工程概预算；组织水土保持施工，落实水土流失防治责任；组织开展水土保持监理、监测工作；依法依规缴纳水土保持补偿费；落实项目水土流失防治责任范围内水土保持设施的管护责任；在生产建设项目投产使用前，完成水土保持设施自主验收；接受甲方和水行政主管部门的监督检查；</w:t>
      </w:r>
    </w:p>
    <w:p w14:paraId="7C4DC083">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（三）承担并落实工程主体责任，确保工程符合相关规定，严格按照既定计划实施；</w:t>
      </w:r>
    </w:p>
    <w:p w14:paraId="11E42806">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（四）自觉接受甲方及相关政府部门的监督和指导，对检查提出的整改通知，须及时整改；</w:t>
      </w:r>
    </w:p>
    <w:p w14:paraId="09250CBD">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（五）项目竣工后及时申报联合验收：</w:t>
      </w:r>
    </w:p>
    <w:p w14:paraId="2E332D45">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（六）项目达产后积极配合甲方开展对标验收；</w:t>
      </w:r>
    </w:p>
    <w:p w14:paraId="149B12F6">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（七）其他：</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w:t>
      </w:r>
    </w:p>
    <w:p w14:paraId="60965217">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第六章 违约责任</w:t>
      </w:r>
    </w:p>
    <w:p w14:paraId="3B000417">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第八条</w:t>
      </w:r>
      <w:r>
        <w:rPr>
          <w:rFonts w:hint="eastAsia" w:ascii="仿宋_GB2312" w:hAnsi="仿宋_GB2312" w:eastAsia="仿宋_GB2312" w:cs="仿宋_GB2312"/>
          <w:b w:val="0"/>
          <w:bCs w:val="0"/>
          <w:sz w:val="32"/>
          <w:szCs w:val="32"/>
          <w:u w:val="none"/>
          <w:lang w:val="en-US" w:eastAsia="zh-CN"/>
        </w:rPr>
        <w:t xml:space="preserve"> 甲方未按本责任书约定履行应尽义务，造成乙方经济损失的，应予以一定补偿；因</w:t>
      </w:r>
      <w:r>
        <w:rPr>
          <w:rFonts w:hint="eastAsia" w:ascii="仿宋_GB2312" w:hAnsi="仿宋_GB2312" w:eastAsia="仿宋_GB2312" w:cs="仿宋_GB2312"/>
          <w:color w:val="000000"/>
          <w:spacing w:val="0"/>
          <w:w w:val="100"/>
          <w:kern w:val="2"/>
          <w:position w:val="0"/>
          <w:sz w:val="32"/>
          <w:szCs w:val="32"/>
          <w:shd w:val="clear"/>
          <w:lang w:eastAsia="zh-CN" w:bidi="ar-SA"/>
        </w:rPr>
        <w:t>工业园区</w:t>
      </w:r>
      <w:r>
        <w:rPr>
          <w:rFonts w:hint="eastAsia" w:ascii="仿宋_GB2312" w:hAnsi="仿宋_GB2312" w:eastAsia="仿宋_GB2312" w:cs="仿宋_GB2312"/>
          <w:b w:val="0"/>
          <w:bCs w:val="0"/>
          <w:sz w:val="32"/>
          <w:szCs w:val="32"/>
          <w:u w:val="none"/>
          <w:lang w:val="en-US" w:eastAsia="zh-CN"/>
        </w:rPr>
        <w:t>原因导致项目联合验收延期的，企业承诺的时间期限可依申请相应顺延。</w:t>
      </w:r>
    </w:p>
    <w:p w14:paraId="407DFD1F">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 w:hAnsi="楷体" w:eastAsia="楷体" w:cs="楷体"/>
          <w:b/>
          <w:bCs/>
          <w:sz w:val="32"/>
          <w:szCs w:val="32"/>
          <w:u w:val="none"/>
          <w:lang w:val="en-US" w:eastAsia="zh-CN"/>
        </w:rPr>
        <w:t>第九条</w:t>
      </w:r>
      <w:r>
        <w:rPr>
          <w:rFonts w:hint="eastAsia" w:ascii="仿宋_GB2312" w:hAnsi="仿宋_GB2312" w:eastAsia="仿宋_GB2312" w:cs="仿宋_GB2312"/>
          <w:b w:val="0"/>
          <w:bCs w:val="0"/>
          <w:sz w:val="32"/>
          <w:szCs w:val="32"/>
          <w:u w:val="none"/>
          <w:lang w:val="en-US" w:eastAsia="zh-CN"/>
        </w:rPr>
        <w:t xml:space="preserve"> 未达到本责任书第五条第（一）、（二）项规定的，判定联合验收不达标的，责令限期整</w:t>
      </w:r>
      <w:r>
        <w:rPr>
          <w:rFonts w:hint="eastAsia" w:ascii="仿宋_GB2312" w:hAnsi="仿宋_GB2312" w:eastAsia="仿宋_GB2312" w:cs="仿宋_GB2312"/>
          <w:b w:val="0"/>
          <w:bCs w:val="0"/>
          <w:color w:val="auto"/>
          <w:sz w:val="32"/>
          <w:szCs w:val="32"/>
          <w:u w:val="none"/>
          <w:lang w:val="en-US" w:eastAsia="zh-CN"/>
        </w:rPr>
        <w:t>改，整改期最长不超过半年。整改后仍不达标的，联合验收不予通过。乙方的违约责任按照土地出让金总额的5%收取土地使用违约金。</w:t>
      </w:r>
    </w:p>
    <w:p w14:paraId="6E970628">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第十条</w:t>
      </w:r>
      <w:r>
        <w:rPr>
          <w:rFonts w:hint="eastAsia" w:ascii="仿宋_GB2312" w:hAnsi="仿宋_GB2312" w:eastAsia="仿宋_GB2312" w:cs="仿宋_GB2312"/>
          <w:b w:val="0"/>
          <w:bCs w:val="0"/>
          <w:sz w:val="32"/>
          <w:szCs w:val="32"/>
          <w:u w:val="none"/>
          <w:lang w:val="en-US" w:eastAsia="zh-CN"/>
        </w:rPr>
        <w:t xml:space="preserve"> 补充条款</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w:t>
      </w:r>
    </w:p>
    <w:p w14:paraId="28D481EA">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第七章 不可抗力</w:t>
      </w:r>
    </w:p>
    <w:p w14:paraId="725C27B3">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第十一条</w:t>
      </w:r>
      <w:r>
        <w:rPr>
          <w:rFonts w:hint="eastAsia" w:ascii="仿宋_GB2312" w:hAnsi="仿宋_GB2312" w:eastAsia="仿宋_GB2312" w:cs="仿宋_GB2312"/>
          <w:b w:val="0"/>
          <w:bCs w:val="0"/>
          <w:sz w:val="32"/>
          <w:szCs w:val="32"/>
          <w:u w:val="none"/>
          <w:lang w:val="en-US" w:eastAsia="zh-CN"/>
        </w:rPr>
        <w:t xml:space="preserve"> 因不可抗力不能履行本责任书的，根据不可抗力的影响，部分或全部免除责任，但法律另有规定的除外。一方延迟履行后发生不可抗力的，不能免除责任。</w:t>
      </w:r>
    </w:p>
    <w:p w14:paraId="5DDDDC76">
      <w:pPr>
        <w:keepNext w:val="0"/>
        <w:keepLines w:val="0"/>
        <w:pageBreakBefore w:val="0"/>
        <w:widowControl w:val="0"/>
        <w:kinsoku/>
        <w:wordWrap/>
        <w:overflowPunct/>
        <w:topLinePunct w:val="0"/>
        <w:autoSpaceDE/>
        <w:autoSpaceDN/>
        <w:bidi w:val="0"/>
        <w:adjustRightInd/>
        <w:snapToGrid/>
        <w:spacing w:line="587" w:lineRule="exact"/>
        <w:ind w:firstLine="616"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pacing w:val="-6"/>
          <w:sz w:val="32"/>
          <w:szCs w:val="32"/>
          <w:u w:val="none"/>
          <w:lang w:val="en-US" w:eastAsia="zh-CN"/>
        </w:rPr>
        <w:t>“不可抗力”是指不能预见、不能避免并不能克服的客观情况</w:t>
      </w:r>
      <w:r>
        <w:rPr>
          <w:rFonts w:hint="eastAsia" w:ascii="仿宋_GB2312" w:hAnsi="仿宋_GB2312" w:eastAsia="仿宋_GB2312" w:cs="仿宋_GB2312"/>
          <w:b w:val="0"/>
          <w:bCs w:val="0"/>
          <w:sz w:val="32"/>
          <w:szCs w:val="32"/>
          <w:u w:val="none"/>
          <w:lang w:val="en-US" w:eastAsia="zh-CN"/>
        </w:rPr>
        <w:t>。</w:t>
      </w:r>
    </w:p>
    <w:p w14:paraId="0FE5B5F2">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第十二条</w:t>
      </w:r>
      <w:r>
        <w:rPr>
          <w:rFonts w:hint="eastAsia" w:ascii="仿宋_GB2312" w:hAnsi="仿宋_GB2312" w:eastAsia="仿宋_GB2312" w:cs="仿宋_GB2312"/>
          <w:b w:val="0"/>
          <w:bCs w:val="0"/>
          <w:sz w:val="32"/>
          <w:szCs w:val="32"/>
          <w:u w:val="none"/>
          <w:lang w:val="en-US" w:eastAsia="zh-CN"/>
        </w:rPr>
        <w:t xml:space="preserve"> 主张不可抗力的一方应及时通知对方，以减轻可能给对方造成的损失，并应在合理期限内提供证明。</w:t>
      </w:r>
    </w:p>
    <w:p w14:paraId="422802C2">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第八章 争议解决</w:t>
      </w:r>
    </w:p>
    <w:p w14:paraId="091A1912">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 xml:space="preserve">第十三条 </w:t>
      </w:r>
      <w:r>
        <w:rPr>
          <w:rFonts w:hint="eastAsia" w:ascii="仿宋_GB2312" w:hAnsi="仿宋_GB2312" w:eastAsia="仿宋_GB2312" w:cs="仿宋_GB2312"/>
          <w:b w:val="0"/>
          <w:bCs w:val="0"/>
          <w:sz w:val="32"/>
          <w:szCs w:val="32"/>
          <w:u w:val="none"/>
          <w:lang w:val="en-US" w:eastAsia="zh-CN"/>
        </w:rPr>
        <w:t>本责任书订立、效力、解释、履行及争议的解决，适用中华人民共和国法律。</w:t>
      </w:r>
    </w:p>
    <w:p w14:paraId="56B23A11">
      <w:pPr>
        <w:keepNext w:val="0"/>
        <w:keepLines w:val="0"/>
        <w:pageBreakBefore w:val="0"/>
        <w:widowControl w:val="0"/>
        <w:kinsoku/>
        <w:wordWrap/>
        <w:overflowPunct/>
        <w:topLinePunct w:val="0"/>
        <w:autoSpaceDE/>
        <w:autoSpaceDN/>
        <w:bidi w:val="0"/>
        <w:adjustRightInd/>
        <w:snapToGrid/>
        <w:spacing w:line="587" w:lineRule="exact"/>
        <w:ind w:firstLine="616"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pacing w:val="-6"/>
          <w:sz w:val="32"/>
          <w:szCs w:val="32"/>
          <w:u w:val="none"/>
          <w:lang w:val="en-US" w:eastAsia="zh-CN"/>
        </w:rPr>
        <w:t>甲乙双方因履行本责任书而发生纠纷的，向人民法院提起诉讼</w:t>
      </w:r>
      <w:r>
        <w:rPr>
          <w:rFonts w:hint="eastAsia" w:ascii="仿宋_GB2312" w:hAnsi="仿宋_GB2312" w:eastAsia="仿宋_GB2312" w:cs="仿宋_GB2312"/>
          <w:b w:val="0"/>
          <w:bCs w:val="0"/>
          <w:sz w:val="32"/>
          <w:szCs w:val="32"/>
          <w:u w:val="none"/>
          <w:lang w:val="en-US" w:eastAsia="zh-CN"/>
        </w:rPr>
        <w:t>。</w:t>
      </w:r>
    </w:p>
    <w:p w14:paraId="2F29E551">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黑体" w:hAnsi="黑体" w:eastAsia="黑体" w:cs="黑体"/>
          <w:b w:val="0"/>
          <w:bCs w:val="0"/>
          <w:sz w:val="32"/>
          <w:szCs w:val="32"/>
          <w:u w:val="none"/>
          <w:lang w:val="en-US" w:eastAsia="zh-CN"/>
        </w:rPr>
      </w:pPr>
    </w:p>
    <w:p w14:paraId="36B3584B">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第九章 附则</w:t>
      </w:r>
    </w:p>
    <w:p w14:paraId="018074F4">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第十四条</w:t>
      </w:r>
      <w:r>
        <w:rPr>
          <w:rFonts w:hint="eastAsia" w:ascii="仿宋_GB2312" w:hAnsi="仿宋_GB2312" w:eastAsia="仿宋_GB2312" w:cs="仿宋_GB2312"/>
          <w:b w:val="0"/>
          <w:bCs w:val="0"/>
          <w:sz w:val="32"/>
          <w:szCs w:val="32"/>
          <w:u w:val="none"/>
          <w:lang w:val="en-US" w:eastAsia="zh-CN"/>
        </w:rPr>
        <w:t xml:space="preserve"> 甲乙双方当事人均应保证本责任书中所填写的信息内容真实有效，一方信息如有变更，应于变更之日起15日内以书面形式告知对方，否则由此引起的无法及时告知的责任由信息变更方承担。</w:t>
      </w:r>
    </w:p>
    <w:p w14:paraId="3B0CA3E1">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第十五条</w:t>
      </w:r>
      <w:r>
        <w:rPr>
          <w:rFonts w:hint="eastAsia" w:ascii="仿宋_GB2312" w:hAnsi="仿宋_GB2312" w:eastAsia="仿宋_GB2312" w:cs="仿宋_GB2312"/>
          <w:b w:val="0"/>
          <w:bCs w:val="0"/>
          <w:sz w:val="32"/>
          <w:szCs w:val="32"/>
          <w:u w:val="none"/>
          <w:lang w:val="en-US" w:eastAsia="zh-CN"/>
        </w:rPr>
        <w:t xml:space="preserve"> 本责任书的金额、面积等应同时以大、小写表示，大小写数额应当一致。不一致的，以大写为准。</w:t>
      </w:r>
    </w:p>
    <w:p w14:paraId="315975EA">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第十六条</w:t>
      </w:r>
      <w:r>
        <w:rPr>
          <w:rFonts w:hint="eastAsia" w:ascii="仿宋_GB2312" w:hAnsi="仿宋_GB2312" w:eastAsia="仿宋_GB2312" w:cs="仿宋_GB2312"/>
          <w:b w:val="0"/>
          <w:bCs w:val="0"/>
          <w:sz w:val="32"/>
          <w:szCs w:val="32"/>
          <w:u w:val="none"/>
          <w:lang w:val="en-US" w:eastAsia="zh-CN"/>
        </w:rPr>
        <w:t xml:space="preserve"> 乙方及其股东向甲方、相关职能部门出具的企业投资工业项目“标准地”承诺书是本责任书的组成部分，与本责任书具有同等法律效力。</w:t>
      </w:r>
    </w:p>
    <w:p w14:paraId="378952A1">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第十七条</w:t>
      </w:r>
      <w:r>
        <w:rPr>
          <w:rFonts w:hint="eastAsia" w:ascii="仿宋_GB2312" w:hAnsi="仿宋_GB2312" w:eastAsia="仿宋_GB2312" w:cs="仿宋_GB2312"/>
          <w:b w:val="0"/>
          <w:bCs w:val="0"/>
          <w:sz w:val="32"/>
          <w:szCs w:val="32"/>
          <w:u w:val="none"/>
          <w:lang w:val="en-US" w:eastAsia="zh-CN"/>
        </w:rPr>
        <w:t xml:space="preserve"> 本责任书未详尽规定的内容，涉及土地出让相关的事项，按照《国有建设用地使用权出让合同》执行。</w:t>
      </w:r>
    </w:p>
    <w:p w14:paraId="42D4C243">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第十八条</w:t>
      </w:r>
      <w:r>
        <w:rPr>
          <w:rFonts w:hint="eastAsia" w:ascii="仿宋_GB2312" w:hAnsi="仿宋_GB2312" w:eastAsia="仿宋_GB2312" w:cs="仿宋_GB2312"/>
          <w:b w:val="0"/>
          <w:bCs w:val="0"/>
          <w:sz w:val="32"/>
          <w:szCs w:val="32"/>
          <w:u w:val="none"/>
          <w:lang w:val="en-US" w:eastAsia="zh-CN"/>
        </w:rPr>
        <w:t xml:space="preserve"> 本责任书自双方签字盖章之日起生效。本责任书</w:t>
      </w:r>
      <w:r>
        <w:rPr>
          <w:rFonts w:hint="eastAsia" w:ascii="仿宋_GB2312" w:hAnsi="仿宋_GB2312" w:eastAsia="仿宋_GB2312" w:cs="仿宋_GB2312"/>
          <w:b w:val="0"/>
          <w:bCs w:val="0"/>
          <w:spacing w:val="-11"/>
          <w:sz w:val="32"/>
          <w:szCs w:val="32"/>
          <w:u w:val="none"/>
          <w:lang w:val="en-US" w:eastAsia="zh-CN"/>
        </w:rPr>
        <w:t>正本壹式肆份，甲乙双方各执贰份，副本</w:t>
      </w:r>
      <w:r>
        <w:rPr>
          <w:rFonts w:hint="eastAsia" w:ascii="仿宋_GB2312" w:hAnsi="仿宋_GB2312" w:eastAsia="仿宋_GB2312" w:cs="仿宋_GB2312"/>
          <w:b w:val="0"/>
          <w:bCs w:val="0"/>
          <w:spacing w:val="-11"/>
          <w:sz w:val="32"/>
          <w:szCs w:val="32"/>
          <w:u w:val="single"/>
          <w:lang w:val="en-US" w:eastAsia="zh-CN"/>
        </w:rPr>
        <w:t xml:space="preserve">    </w:t>
      </w:r>
      <w:r>
        <w:rPr>
          <w:rFonts w:hint="eastAsia" w:ascii="仿宋_GB2312" w:hAnsi="仿宋_GB2312" w:eastAsia="仿宋_GB2312" w:cs="仿宋_GB2312"/>
          <w:b w:val="0"/>
          <w:bCs w:val="0"/>
          <w:spacing w:val="-11"/>
          <w:sz w:val="32"/>
          <w:szCs w:val="32"/>
          <w:u w:val="none"/>
          <w:lang w:val="en-US" w:eastAsia="zh-CN"/>
        </w:rPr>
        <w:t>份报有关部门备案使用</w:t>
      </w:r>
      <w:r>
        <w:rPr>
          <w:rFonts w:hint="eastAsia" w:ascii="仿宋_GB2312" w:hAnsi="仿宋_GB2312" w:eastAsia="仿宋_GB2312" w:cs="仿宋_GB2312"/>
          <w:b w:val="0"/>
          <w:bCs w:val="0"/>
          <w:sz w:val="32"/>
          <w:szCs w:val="32"/>
          <w:u w:val="none"/>
          <w:lang w:val="en-US" w:eastAsia="zh-CN"/>
        </w:rPr>
        <w:t>。</w:t>
      </w:r>
    </w:p>
    <w:p w14:paraId="2FF8D664">
      <w:pPr>
        <w:pStyle w:val="7"/>
        <w:keepNext w:val="0"/>
        <w:keepLines w:val="0"/>
        <w:pageBreakBefore w:val="0"/>
        <w:widowControl w:val="0"/>
        <w:kinsoku/>
        <w:wordWrap/>
        <w:overflowPunct/>
        <w:topLinePunct w:val="0"/>
        <w:bidi w:val="0"/>
        <w:snapToGrid/>
        <w:spacing w:line="587" w:lineRule="exact"/>
        <w:ind w:left="0" w:leftChars="0" w:firstLine="0" w:firstLineChars="0"/>
        <w:rPr>
          <w:rFonts w:hint="eastAsia"/>
          <w:lang w:val="en-US" w:eastAsia="zh-CN"/>
        </w:rPr>
      </w:pPr>
    </w:p>
    <w:p w14:paraId="376B85B1">
      <w:pPr>
        <w:pStyle w:val="7"/>
        <w:keepNext w:val="0"/>
        <w:keepLines w:val="0"/>
        <w:pageBreakBefore w:val="0"/>
        <w:widowControl w:val="0"/>
        <w:kinsoku/>
        <w:wordWrap/>
        <w:overflowPunct/>
        <w:topLinePunct w:val="0"/>
        <w:bidi w:val="0"/>
        <w:snapToGrid/>
        <w:spacing w:line="587" w:lineRule="exact"/>
        <w:ind w:left="0" w:leftChars="0" w:firstLine="0" w:firstLineChars="0"/>
        <w:rPr>
          <w:rFonts w:hint="eastAsia"/>
          <w:lang w:val="en-US" w:eastAsia="zh-CN"/>
        </w:rPr>
      </w:pPr>
    </w:p>
    <w:p w14:paraId="3EF009B3">
      <w:pPr>
        <w:pStyle w:val="7"/>
        <w:keepNext w:val="0"/>
        <w:keepLines w:val="0"/>
        <w:pageBreakBefore w:val="0"/>
        <w:widowControl w:val="0"/>
        <w:kinsoku/>
        <w:wordWrap/>
        <w:overflowPunct/>
        <w:topLinePunct w:val="0"/>
        <w:bidi w:val="0"/>
        <w:snapToGrid/>
        <w:spacing w:line="587" w:lineRule="exact"/>
        <w:ind w:left="0" w:leftChars="0" w:firstLine="0" w:firstLineChars="0"/>
        <w:rPr>
          <w:rFonts w:hint="eastAsia"/>
          <w:lang w:val="en-US" w:eastAsia="zh-CN"/>
        </w:rPr>
      </w:pPr>
    </w:p>
    <w:p w14:paraId="401BB4AE">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甲方（盖章）                  乙方（盖章）</w:t>
      </w:r>
    </w:p>
    <w:p w14:paraId="260CB07D">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法定代表人（委托代理人）      法定代表人（委托代理人）</w:t>
      </w:r>
    </w:p>
    <w:p w14:paraId="01765120">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（签字）                      （签字）</w:t>
      </w:r>
    </w:p>
    <w:p w14:paraId="3561AEC0">
      <w:pPr>
        <w:keepNext w:val="0"/>
        <w:keepLines w:val="0"/>
        <w:pageBreakBefore w:val="0"/>
        <w:widowControl w:val="0"/>
        <w:kinsoku/>
        <w:wordWrap/>
        <w:overflowPunct/>
        <w:topLinePunct w:val="0"/>
        <w:autoSpaceDE/>
        <w:autoSpaceDN/>
        <w:bidi w:val="0"/>
        <w:adjustRightInd/>
        <w:snapToGrid/>
        <w:spacing w:line="587" w:lineRule="exact"/>
        <w:ind w:firstLine="1600" w:firstLineChars="5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年  月  日                   年  月  日</w:t>
      </w:r>
    </w:p>
    <w:p w14:paraId="4E753C4E">
      <w:pPr>
        <w:keepNext w:val="0"/>
        <w:keepLines w:val="0"/>
        <w:pageBreakBefore w:val="0"/>
        <w:widowControl w:val="0"/>
        <w:kinsoku/>
        <w:wordWrap/>
        <w:overflowPunct/>
        <w:topLinePunct w:val="0"/>
        <w:bidi w:val="0"/>
        <w:snapToGrid/>
        <w:spacing w:line="587" w:lineRule="exact"/>
        <w:jc w:val="both"/>
        <w:rPr>
          <w:rFonts w:hint="eastAsia" w:ascii="黑体" w:hAnsi="黑体" w:eastAsia="黑体" w:cs="黑体"/>
          <w:b w:val="0"/>
          <w:bCs w:val="0"/>
          <w:w w:val="95"/>
          <w:sz w:val="32"/>
          <w:szCs w:val="32"/>
          <w:lang w:val="en-US" w:eastAsia="zh-CN"/>
        </w:rPr>
      </w:pPr>
    </w:p>
    <w:p w14:paraId="2CA7FE4B">
      <w:pPr>
        <w:keepNext w:val="0"/>
        <w:keepLines w:val="0"/>
        <w:pageBreakBefore w:val="0"/>
        <w:widowControl w:val="0"/>
        <w:kinsoku/>
        <w:wordWrap/>
        <w:overflowPunct/>
        <w:topLinePunct w:val="0"/>
        <w:bidi w:val="0"/>
        <w:snapToGrid/>
        <w:spacing w:line="587" w:lineRule="exact"/>
        <w:jc w:val="both"/>
        <w:rPr>
          <w:rFonts w:hint="eastAsia" w:ascii="黑体" w:hAnsi="黑体" w:eastAsia="黑体" w:cs="黑体"/>
          <w:b w:val="0"/>
          <w:bCs w:val="0"/>
          <w:w w:val="95"/>
          <w:sz w:val="32"/>
          <w:szCs w:val="32"/>
          <w:lang w:val="en-US" w:eastAsia="zh-CN"/>
        </w:rPr>
      </w:pPr>
    </w:p>
    <w:p w14:paraId="15672B45">
      <w:pPr>
        <w:pStyle w:val="2"/>
        <w:rPr>
          <w:rFonts w:hint="eastAsia" w:ascii="黑体" w:hAnsi="黑体" w:eastAsia="黑体" w:cs="黑体"/>
          <w:b w:val="0"/>
          <w:bCs w:val="0"/>
          <w:w w:val="95"/>
          <w:sz w:val="32"/>
          <w:szCs w:val="32"/>
          <w:lang w:val="en-US" w:eastAsia="zh-CN"/>
        </w:rPr>
      </w:pPr>
    </w:p>
    <w:p w14:paraId="2A75FA36">
      <w:pPr>
        <w:pStyle w:val="3"/>
        <w:rPr>
          <w:rFonts w:hint="eastAsia" w:ascii="黑体" w:hAnsi="黑体" w:eastAsia="黑体" w:cs="黑体"/>
          <w:b w:val="0"/>
          <w:bCs w:val="0"/>
          <w:w w:val="95"/>
          <w:sz w:val="32"/>
          <w:szCs w:val="32"/>
          <w:lang w:val="en-US" w:eastAsia="zh-CN"/>
        </w:rPr>
      </w:pPr>
    </w:p>
    <w:p w14:paraId="18A485EF">
      <w:pPr>
        <w:pStyle w:val="4"/>
        <w:rPr>
          <w:rFonts w:hint="eastAsia" w:ascii="黑体" w:hAnsi="黑体" w:eastAsia="黑体" w:cs="黑体"/>
          <w:b w:val="0"/>
          <w:bCs w:val="0"/>
          <w:w w:val="95"/>
          <w:sz w:val="32"/>
          <w:szCs w:val="32"/>
          <w:lang w:val="en-US" w:eastAsia="zh-CN"/>
        </w:rPr>
      </w:pPr>
    </w:p>
    <w:p w14:paraId="34F68BFB">
      <w:pPr>
        <w:pStyle w:val="4"/>
        <w:rPr>
          <w:rFonts w:hint="eastAsia" w:ascii="黑体" w:hAnsi="黑体" w:eastAsia="黑体" w:cs="黑体"/>
          <w:b w:val="0"/>
          <w:bCs w:val="0"/>
          <w:w w:val="95"/>
          <w:sz w:val="32"/>
          <w:szCs w:val="32"/>
          <w:lang w:val="en-US" w:eastAsia="zh-CN"/>
        </w:rPr>
      </w:pPr>
    </w:p>
    <w:p w14:paraId="3B9A08F5">
      <w:pPr>
        <w:pStyle w:val="4"/>
        <w:rPr>
          <w:rFonts w:hint="eastAsia" w:ascii="黑体" w:hAnsi="黑体" w:eastAsia="黑体" w:cs="黑体"/>
          <w:b w:val="0"/>
          <w:bCs w:val="0"/>
          <w:w w:val="95"/>
          <w:sz w:val="32"/>
          <w:szCs w:val="32"/>
          <w:lang w:val="en-US" w:eastAsia="zh-CN"/>
        </w:rPr>
      </w:pPr>
    </w:p>
    <w:p w14:paraId="6DC97869">
      <w:pPr>
        <w:pStyle w:val="4"/>
        <w:rPr>
          <w:rFonts w:hint="eastAsia" w:ascii="黑体" w:hAnsi="黑体" w:eastAsia="黑体" w:cs="黑体"/>
          <w:b w:val="0"/>
          <w:bCs w:val="0"/>
          <w:w w:val="95"/>
          <w:sz w:val="32"/>
          <w:szCs w:val="32"/>
          <w:lang w:val="en-US" w:eastAsia="zh-CN"/>
        </w:rPr>
      </w:pPr>
    </w:p>
    <w:p w14:paraId="526C0307">
      <w:pPr>
        <w:pStyle w:val="4"/>
        <w:rPr>
          <w:rFonts w:hint="eastAsia" w:ascii="黑体" w:hAnsi="黑体" w:eastAsia="黑体" w:cs="黑体"/>
          <w:b w:val="0"/>
          <w:bCs w:val="0"/>
          <w:w w:val="95"/>
          <w:sz w:val="32"/>
          <w:szCs w:val="32"/>
          <w:lang w:val="en-US" w:eastAsia="zh-CN"/>
        </w:rPr>
      </w:pPr>
    </w:p>
    <w:p w14:paraId="6EC9A955">
      <w:pPr>
        <w:pStyle w:val="4"/>
        <w:rPr>
          <w:rFonts w:hint="eastAsia" w:ascii="黑体" w:hAnsi="黑体" w:eastAsia="黑体" w:cs="黑体"/>
          <w:b w:val="0"/>
          <w:bCs w:val="0"/>
          <w:w w:val="95"/>
          <w:sz w:val="32"/>
          <w:szCs w:val="32"/>
          <w:lang w:val="en-US" w:eastAsia="zh-CN"/>
        </w:rPr>
      </w:pPr>
    </w:p>
    <w:p w14:paraId="5EB58592">
      <w:pPr>
        <w:pStyle w:val="4"/>
        <w:rPr>
          <w:rFonts w:hint="eastAsia" w:ascii="黑体" w:hAnsi="黑体" w:eastAsia="黑体" w:cs="黑体"/>
          <w:b w:val="0"/>
          <w:bCs w:val="0"/>
          <w:w w:val="95"/>
          <w:sz w:val="32"/>
          <w:szCs w:val="32"/>
          <w:lang w:val="en-US" w:eastAsia="zh-CN"/>
        </w:rPr>
      </w:pPr>
    </w:p>
    <w:p w14:paraId="358DD3E4">
      <w:pPr>
        <w:pStyle w:val="4"/>
        <w:rPr>
          <w:rFonts w:hint="eastAsia" w:ascii="黑体" w:hAnsi="黑体" w:eastAsia="黑体" w:cs="黑体"/>
          <w:b w:val="0"/>
          <w:bCs w:val="0"/>
          <w:w w:val="95"/>
          <w:sz w:val="32"/>
          <w:szCs w:val="32"/>
          <w:lang w:val="en-US" w:eastAsia="zh-CN"/>
        </w:rPr>
      </w:pPr>
    </w:p>
    <w:p w14:paraId="7A68FD24">
      <w:pPr>
        <w:pStyle w:val="4"/>
        <w:rPr>
          <w:rFonts w:hint="eastAsia" w:ascii="黑体" w:hAnsi="黑体" w:eastAsia="黑体" w:cs="黑体"/>
          <w:b w:val="0"/>
          <w:bCs w:val="0"/>
          <w:w w:val="95"/>
          <w:sz w:val="32"/>
          <w:szCs w:val="32"/>
          <w:lang w:val="en-US" w:eastAsia="zh-CN"/>
        </w:rPr>
      </w:pPr>
    </w:p>
    <w:p w14:paraId="5A93DB27">
      <w:pPr>
        <w:pStyle w:val="4"/>
        <w:rPr>
          <w:rFonts w:hint="eastAsia" w:ascii="黑体" w:hAnsi="黑体" w:eastAsia="黑体" w:cs="黑体"/>
          <w:b w:val="0"/>
          <w:bCs w:val="0"/>
          <w:w w:val="95"/>
          <w:sz w:val="32"/>
          <w:szCs w:val="32"/>
          <w:lang w:val="en-US" w:eastAsia="zh-CN"/>
        </w:rPr>
      </w:pPr>
    </w:p>
    <w:p w14:paraId="2BE90AA1">
      <w:pPr>
        <w:pStyle w:val="4"/>
        <w:rPr>
          <w:rFonts w:hint="eastAsia" w:ascii="黑体" w:hAnsi="黑体" w:eastAsia="黑体" w:cs="黑体"/>
          <w:b w:val="0"/>
          <w:bCs w:val="0"/>
          <w:w w:val="95"/>
          <w:sz w:val="32"/>
          <w:szCs w:val="32"/>
          <w:lang w:val="en-US" w:eastAsia="zh-CN"/>
        </w:rPr>
      </w:pPr>
    </w:p>
    <w:p w14:paraId="6635F393">
      <w:pPr>
        <w:pStyle w:val="4"/>
        <w:rPr>
          <w:rFonts w:hint="eastAsia" w:ascii="黑体" w:hAnsi="黑体" w:eastAsia="黑体" w:cs="黑体"/>
          <w:b w:val="0"/>
          <w:bCs w:val="0"/>
          <w:w w:val="95"/>
          <w:sz w:val="32"/>
          <w:szCs w:val="32"/>
          <w:lang w:val="en-US" w:eastAsia="zh-CN"/>
        </w:rPr>
      </w:pPr>
    </w:p>
    <w:p w14:paraId="53048AE7">
      <w:pPr>
        <w:pStyle w:val="4"/>
        <w:jc w:val="both"/>
        <w:rPr>
          <w:rFonts w:hint="eastAsia" w:ascii="黑体" w:hAnsi="黑体" w:eastAsia="黑体" w:cs="黑体"/>
          <w:b w:val="0"/>
          <w:bCs w:val="0"/>
          <w:w w:val="95"/>
          <w:sz w:val="32"/>
          <w:szCs w:val="32"/>
          <w:lang w:val="en-US" w:eastAsia="zh-CN"/>
        </w:rPr>
      </w:pPr>
    </w:p>
    <w:p w14:paraId="769E67DE">
      <w:pPr>
        <w:pStyle w:val="2"/>
        <w:rPr>
          <w:rFonts w:hint="eastAsia"/>
          <w:lang w:val="en-US" w:eastAsia="zh-CN"/>
        </w:rPr>
      </w:pPr>
    </w:p>
    <w:p w14:paraId="382D5990">
      <w:pPr>
        <w:keepNext w:val="0"/>
        <w:keepLines w:val="0"/>
        <w:pageBreakBefore w:val="0"/>
        <w:widowControl w:val="0"/>
        <w:kinsoku/>
        <w:wordWrap/>
        <w:overflowPunct/>
        <w:topLinePunct w:val="0"/>
        <w:bidi w:val="0"/>
        <w:snapToGrid/>
        <w:spacing w:line="587" w:lineRule="exact"/>
        <w:jc w:val="center"/>
        <w:rPr>
          <w:rFonts w:hint="eastAsia" w:ascii="方正小标宋简体" w:hAnsi="方正小标宋简体" w:eastAsia="方正小标宋简体" w:cs="方正小标宋简体"/>
          <w:b w:val="0"/>
          <w:bCs w:val="0"/>
          <w:w w:val="95"/>
          <w:sz w:val="44"/>
          <w:szCs w:val="44"/>
          <w:lang w:val="en-US" w:eastAsia="zh-CN"/>
        </w:rPr>
      </w:pPr>
      <w:r>
        <w:rPr>
          <w:rFonts w:hint="eastAsia" w:ascii="方正小标宋简体" w:hAnsi="方正小标宋简体" w:eastAsia="方正小标宋简体" w:cs="方正小标宋简体"/>
          <w:b w:val="0"/>
          <w:bCs w:val="0"/>
          <w:w w:val="95"/>
          <w:sz w:val="44"/>
          <w:szCs w:val="44"/>
          <w:lang w:val="en-US" w:eastAsia="zh-CN"/>
        </w:rPr>
        <w:t>山丹城北工业园区项目“标准地”监管责任表</w:t>
      </w:r>
    </w:p>
    <w:tbl>
      <w:tblPr>
        <w:tblStyle w:val="9"/>
        <w:tblW w:w="971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3205"/>
        <w:gridCol w:w="2481"/>
        <w:gridCol w:w="2360"/>
      </w:tblGrid>
      <w:tr w14:paraId="3F5D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64" w:type="dxa"/>
            <w:noWrap w:val="0"/>
            <w:vAlign w:val="top"/>
          </w:tcPr>
          <w:p w14:paraId="28090C43">
            <w:pPr>
              <w:keepNext w:val="0"/>
              <w:keepLines w:val="0"/>
              <w:pageBreakBefore w:val="0"/>
              <w:widowControl w:val="0"/>
              <w:kinsoku/>
              <w:wordWrap/>
              <w:overflowPunct/>
              <w:topLinePunct w:val="0"/>
              <w:bidi w:val="0"/>
              <w:snapToGrid/>
              <w:spacing w:line="587" w:lineRule="exact"/>
              <w:jc w:val="center"/>
              <w:rPr>
                <w:rFonts w:hint="eastAsia" w:ascii="黑体" w:hAnsi="黑体" w:eastAsia="黑体" w:cs="黑体"/>
                <w:b w:val="0"/>
                <w:bCs w:val="0"/>
                <w:w w:val="95"/>
                <w:sz w:val="28"/>
                <w:szCs w:val="28"/>
                <w:vertAlign w:val="baseline"/>
                <w:lang w:val="en-US" w:eastAsia="zh-CN"/>
              </w:rPr>
            </w:pPr>
            <w:r>
              <w:rPr>
                <w:rFonts w:hint="eastAsia" w:ascii="黑体" w:hAnsi="黑体" w:eastAsia="黑体" w:cs="黑体"/>
                <w:b w:val="0"/>
                <w:bCs w:val="0"/>
                <w:w w:val="95"/>
                <w:sz w:val="28"/>
                <w:szCs w:val="28"/>
                <w:vertAlign w:val="baseline"/>
                <w:lang w:val="en-US" w:eastAsia="zh-CN"/>
              </w:rPr>
              <w:t>监管事项</w:t>
            </w:r>
          </w:p>
        </w:tc>
        <w:tc>
          <w:tcPr>
            <w:tcW w:w="3205" w:type="dxa"/>
            <w:noWrap w:val="0"/>
            <w:vAlign w:val="top"/>
          </w:tcPr>
          <w:p w14:paraId="57A6484B">
            <w:pPr>
              <w:keepNext w:val="0"/>
              <w:keepLines w:val="0"/>
              <w:pageBreakBefore w:val="0"/>
              <w:widowControl w:val="0"/>
              <w:kinsoku/>
              <w:wordWrap/>
              <w:overflowPunct/>
              <w:topLinePunct w:val="0"/>
              <w:bidi w:val="0"/>
              <w:snapToGrid/>
              <w:spacing w:line="587" w:lineRule="exact"/>
              <w:jc w:val="center"/>
              <w:rPr>
                <w:rFonts w:hint="eastAsia" w:ascii="黑体" w:hAnsi="黑体" w:eastAsia="黑体" w:cs="黑体"/>
                <w:b w:val="0"/>
                <w:bCs w:val="0"/>
                <w:w w:val="95"/>
                <w:sz w:val="28"/>
                <w:szCs w:val="28"/>
                <w:vertAlign w:val="baseline"/>
                <w:lang w:val="en-US" w:eastAsia="zh-CN"/>
              </w:rPr>
            </w:pPr>
            <w:r>
              <w:rPr>
                <w:rFonts w:hint="eastAsia" w:ascii="黑体" w:hAnsi="黑体" w:eastAsia="黑体" w:cs="黑体"/>
                <w:b w:val="0"/>
                <w:bCs w:val="0"/>
                <w:w w:val="95"/>
                <w:sz w:val="28"/>
                <w:szCs w:val="28"/>
                <w:vertAlign w:val="baseline"/>
                <w:lang w:val="en-US" w:eastAsia="zh-CN"/>
              </w:rPr>
              <w:t>监管内容</w:t>
            </w:r>
          </w:p>
        </w:tc>
        <w:tc>
          <w:tcPr>
            <w:tcW w:w="2481" w:type="dxa"/>
            <w:noWrap w:val="0"/>
            <w:vAlign w:val="top"/>
          </w:tcPr>
          <w:p w14:paraId="648DFD8F">
            <w:pPr>
              <w:keepNext w:val="0"/>
              <w:keepLines w:val="0"/>
              <w:pageBreakBefore w:val="0"/>
              <w:widowControl w:val="0"/>
              <w:kinsoku/>
              <w:wordWrap/>
              <w:overflowPunct/>
              <w:topLinePunct w:val="0"/>
              <w:bidi w:val="0"/>
              <w:snapToGrid/>
              <w:spacing w:line="587" w:lineRule="exact"/>
              <w:jc w:val="center"/>
              <w:rPr>
                <w:rFonts w:hint="eastAsia" w:ascii="黑体" w:hAnsi="黑体" w:eastAsia="黑体" w:cs="黑体"/>
                <w:b w:val="0"/>
                <w:bCs w:val="0"/>
                <w:w w:val="95"/>
                <w:sz w:val="28"/>
                <w:szCs w:val="28"/>
                <w:vertAlign w:val="baseline"/>
                <w:lang w:val="en-US" w:eastAsia="zh-CN"/>
              </w:rPr>
            </w:pPr>
            <w:r>
              <w:rPr>
                <w:rFonts w:hint="eastAsia" w:ascii="黑体" w:hAnsi="黑体" w:eastAsia="黑体" w:cs="黑体"/>
                <w:b w:val="0"/>
                <w:bCs w:val="0"/>
                <w:w w:val="95"/>
                <w:sz w:val="28"/>
                <w:szCs w:val="28"/>
                <w:vertAlign w:val="baseline"/>
                <w:lang w:val="en-US" w:eastAsia="zh-CN"/>
              </w:rPr>
              <w:t>责任单位</w:t>
            </w:r>
          </w:p>
        </w:tc>
        <w:tc>
          <w:tcPr>
            <w:tcW w:w="2360" w:type="dxa"/>
            <w:noWrap w:val="0"/>
            <w:vAlign w:val="top"/>
          </w:tcPr>
          <w:p w14:paraId="70A0C83E">
            <w:pPr>
              <w:keepNext w:val="0"/>
              <w:keepLines w:val="0"/>
              <w:pageBreakBefore w:val="0"/>
              <w:widowControl w:val="0"/>
              <w:kinsoku/>
              <w:wordWrap/>
              <w:overflowPunct/>
              <w:topLinePunct w:val="0"/>
              <w:bidi w:val="0"/>
              <w:snapToGrid/>
              <w:spacing w:line="587" w:lineRule="exact"/>
              <w:jc w:val="center"/>
              <w:rPr>
                <w:rFonts w:hint="eastAsia" w:ascii="黑体" w:hAnsi="黑体" w:eastAsia="黑体" w:cs="黑体"/>
                <w:b w:val="0"/>
                <w:bCs w:val="0"/>
                <w:w w:val="95"/>
                <w:sz w:val="28"/>
                <w:szCs w:val="28"/>
                <w:vertAlign w:val="baseline"/>
                <w:lang w:val="en-US" w:eastAsia="zh-CN"/>
              </w:rPr>
            </w:pPr>
            <w:r>
              <w:rPr>
                <w:rFonts w:hint="eastAsia" w:ascii="黑体" w:hAnsi="黑体" w:eastAsia="黑体" w:cs="黑体"/>
                <w:b w:val="0"/>
                <w:bCs w:val="0"/>
                <w:w w:val="95"/>
                <w:sz w:val="28"/>
                <w:szCs w:val="28"/>
                <w:vertAlign w:val="baseline"/>
                <w:lang w:val="en-US" w:eastAsia="zh-CN"/>
              </w:rPr>
              <w:t>配合单位</w:t>
            </w:r>
          </w:p>
        </w:tc>
      </w:tr>
      <w:tr w14:paraId="48BF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664" w:type="dxa"/>
            <w:noWrap w:val="0"/>
            <w:vAlign w:val="center"/>
          </w:tcPr>
          <w:p w14:paraId="35288434">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区域评估</w:t>
            </w:r>
          </w:p>
        </w:tc>
        <w:tc>
          <w:tcPr>
            <w:tcW w:w="3205" w:type="dxa"/>
            <w:noWrap w:val="0"/>
            <w:vAlign w:val="center"/>
          </w:tcPr>
          <w:p w14:paraId="292303D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协调区域评估成果应用</w:t>
            </w:r>
          </w:p>
        </w:tc>
        <w:tc>
          <w:tcPr>
            <w:tcW w:w="2481" w:type="dxa"/>
            <w:noWrap w:val="0"/>
            <w:vAlign w:val="center"/>
          </w:tcPr>
          <w:p w14:paraId="681EE42A">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管委会</w:t>
            </w:r>
          </w:p>
        </w:tc>
        <w:tc>
          <w:tcPr>
            <w:tcW w:w="2360" w:type="dxa"/>
            <w:noWrap w:val="0"/>
            <w:vAlign w:val="center"/>
          </w:tcPr>
          <w:p w14:paraId="385742DE">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区域评估涉及部门</w:t>
            </w:r>
          </w:p>
        </w:tc>
      </w:tr>
      <w:tr w14:paraId="4391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64" w:type="dxa"/>
            <w:noWrap w:val="0"/>
            <w:vAlign w:val="center"/>
          </w:tcPr>
          <w:p w14:paraId="395F4D02">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控制性指标</w:t>
            </w:r>
          </w:p>
        </w:tc>
        <w:tc>
          <w:tcPr>
            <w:tcW w:w="3205" w:type="dxa"/>
            <w:noWrap w:val="0"/>
            <w:vAlign w:val="center"/>
          </w:tcPr>
          <w:p w14:paraId="48CDB7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控制性指标确定</w:t>
            </w:r>
          </w:p>
        </w:tc>
        <w:tc>
          <w:tcPr>
            <w:tcW w:w="2481" w:type="dxa"/>
            <w:noWrap w:val="0"/>
            <w:vAlign w:val="center"/>
          </w:tcPr>
          <w:p w14:paraId="4A82E1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经济发展局、规划建设局、招商服务中心</w:t>
            </w:r>
          </w:p>
        </w:tc>
        <w:tc>
          <w:tcPr>
            <w:tcW w:w="2360" w:type="dxa"/>
            <w:noWrap w:val="0"/>
            <w:vAlign w:val="center"/>
          </w:tcPr>
          <w:p w14:paraId="3CAF8E8E">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p>
        </w:tc>
      </w:tr>
      <w:tr w14:paraId="3925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64" w:type="dxa"/>
            <w:noWrap w:val="0"/>
            <w:vAlign w:val="center"/>
          </w:tcPr>
          <w:p w14:paraId="17FA1ED6">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color w:val="auto"/>
                <w:w w:val="95"/>
                <w:sz w:val="22"/>
                <w:szCs w:val="22"/>
                <w:vertAlign w:val="baseline"/>
                <w:lang w:val="en-US" w:eastAsia="zh-CN"/>
              </w:rPr>
            </w:pPr>
            <w:r>
              <w:rPr>
                <w:rFonts w:hint="eastAsia" w:ascii="仿宋_GB2312" w:hAnsi="仿宋_GB2312" w:eastAsia="仿宋_GB2312" w:cs="仿宋_GB2312"/>
                <w:b w:val="0"/>
                <w:bCs w:val="0"/>
                <w:color w:val="auto"/>
                <w:w w:val="95"/>
                <w:sz w:val="22"/>
                <w:szCs w:val="22"/>
                <w:vertAlign w:val="baseline"/>
                <w:lang w:val="en-US" w:eastAsia="zh-CN"/>
              </w:rPr>
              <w:t>基础配套</w:t>
            </w:r>
          </w:p>
        </w:tc>
        <w:tc>
          <w:tcPr>
            <w:tcW w:w="3205" w:type="dxa"/>
            <w:noWrap w:val="0"/>
            <w:vAlign w:val="center"/>
          </w:tcPr>
          <w:p w14:paraId="62E3444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auto"/>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道路、给水、排水、电力、供气（热通讯及区域平整</w:t>
            </w:r>
          </w:p>
        </w:tc>
        <w:tc>
          <w:tcPr>
            <w:tcW w:w="2481" w:type="dxa"/>
            <w:noWrap w:val="0"/>
            <w:vAlign w:val="center"/>
          </w:tcPr>
          <w:p w14:paraId="7970F6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95"/>
                <w:sz w:val="22"/>
                <w:szCs w:val="22"/>
                <w:vertAlign w:val="baseline"/>
                <w:lang w:val="en-US" w:eastAsia="zh-CN"/>
              </w:rPr>
            </w:pPr>
            <w:r>
              <w:rPr>
                <w:rFonts w:hint="eastAsia" w:ascii="仿宋_GB2312" w:hAnsi="仿宋_GB2312" w:eastAsia="仿宋_GB2312" w:cs="仿宋_GB2312"/>
                <w:b w:val="0"/>
                <w:bCs w:val="0"/>
                <w:color w:val="auto"/>
                <w:w w:val="95"/>
                <w:sz w:val="22"/>
                <w:szCs w:val="22"/>
                <w:vertAlign w:val="baseline"/>
                <w:lang w:val="en-US" w:eastAsia="zh-CN"/>
              </w:rPr>
              <w:t>规划建设局、园投公司</w:t>
            </w:r>
          </w:p>
        </w:tc>
        <w:tc>
          <w:tcPr>
            <w:tcW w:w="2360" w:type="dxa"/>
            <w:noWrap w:val="0"/>
            <w:vAlign w:val="center"/>
          </w:tcPr>
          <w:p w14:paraId="1CB99362">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物流园管理服务中心</w:t>
            </w:r>
          </w:p>
        </w:tc>
      </w:tr>
      <w:tr w14:paraId="74CB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64" w:type="dxa"/>
            <w:noWrap w:val="0"/>
            <w:vAlign w:val="center"/>
          </w:tcPr>
          <w:p w14:paraId="17B58BFE">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color w:val="auto"/>
                <w:w w:val="95"/>
                <w:sz w:val="22"/>
                <w:szCs w:val="22"/>
                <w:vertAlign w:val="baseline"/>
                <w:lang w:val="en-US" w:eastAsia="zh-CN"/>
              </w:rPr>
            </w:pPr>
            <w:r>
              <w:rPr>
                <w:rFonts w:hint="eastAsia" w:ascii="仿宋_GB2312" w:hAnsi="仿宋_GB2312" w:eastAsia="仿宋_GB2312" w:cs="仿宋_GB2312"/>
                <w:b w:val="0"/>
                <w:bCs w:val="0"/>
                <w:color w:val="auto"/>
                <w:w w:val="95"/>
                <w:sz w:val="22"/>
                <w:szCs w:val="22"/>
                <w:vertAlign w:val="baseline"/>
                <w:lang w:val="en-US" w:eastAsia="zh-CN"/>
              </w:rPr>
              <w:t>按标出让</w:t>
            </w:r>
          </w:p>
        </w:tc>
        <w:tc>
          <w:tcPr>
            <w:tcW w:w="3205" w:type="dxa"/>
            <w:noWrap w:val="0"/>
            <w:vAlign w:val="center"/>
          </w:tcPr>
          <w:p w14:paraId="2C06355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95"/>
                <w:sz w:val="22"/>
                <w:szCs w:val="22"/>
                <w:vertAlign w:val="baseline"/>
                <w:lang w:val="en-US" w:eastAsia="zh-CN"/>
              </w:rPr>
            </w:pPr>
            <w:r>
              <w:rPr>
                <w:rFonts w:hint="eastAsia" w:ascii="仿宋_GB2312" w:hAnsi="仿宋_GB2312" w:eastAsia="仿宋_GB2312" w:cs="仿宋_GB2312"/>
                <w:b w:val="0"/>
                <w:bCs w:val="0"/>
                <w:color w:val="auto"/>
                <w:w w:val="95"/>
                <w:sz w:val="22"/>
                <w:szCs w:val="22"/>
                <w:vertAlign w:val="baseline"/>
                <w:lang w:val="en-US" w:eastAsia="zh-CN"/>
              </w:rPr>
              <w:t>按标出让工业“标准地”</w:t>
            </w:r>
          </w:p>
        </w:tc>
        <w:tc>
          <w:tcPr>
            <w:tcW w:w="2481" w:type="dxa"/>
            <w:noWrap w:val="0"/>
            <w:vAlign w:val="center"/>
          </w:tcPr>
          <w:p w14:paraId="527EE0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经济发展局、规划建设局、</w:t>
            </w:r>
            <w:r>
              <w:rPr>
                <w:rFonts w:hint="eastAsia" w:ascii="仿宋_GB2312" w:hAnsi="仿宋_GB2312" w:eastAsia="仿宋_GB2312" w:cs="仿宋_GB2312"/>
                <w:b w:val="0"/>
                <w:bCs w:val="0"/>
                <w:color w:val="auto"/>
                <w:w w:val="95"/>
                <w:sz w:val="22"/>
                <w:szCs w:val="22"/>
                <w:vertAlign w:val="baseline"/>
                <w:lang w:val="en-US" w:eastAsia="zh-CN"/>
              </w:rPr>
              <w:t>园投公司</w:t>
            </w:r>
          </w:p>
        </w:tc>
        <w:tc>
          <w:tcPr>
            <w:tcW w:w="2360" w:type="dxa"/>
            <w:noWrap w:val="0"/>
            <w:vAlign w:val="center"/>
          </w:tcPr>
          <w:p w14:paraId="644F7604">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p>
        </w:tc>
      </w:tr>
      <w:tr w14:paraId="1016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664" w:type="dxa"/>
            <w:noWrap w:val="0"/>
            <w:vAlign w:val="center"/>
          </w:tcPr>
          <w:p w14:paraId="69D94691">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责任书签订</w:t>
            </w:r>
          </w:p>
        </w:tc>
        <w:tc>
          <w:tcPr>
            <w:tcW w:w="3205" w:type="dxa"/>
            <w:noWrap w:val="0"/>
            <w:vAlign w:val="center"/>
          </w:tcPr>
          <w:p w14:paraId="421BC1D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签订《山丹城北工业园区项目“标准地”履约责任书》</w:t>
            </w:r>
          </w:p>
        </w:tc>
        <w:tc>
          <w:tcPr>
            <w:tcW w:w="2481" w:type="dxa"/>
            <w:noWrap w:val="0"/>
            <w:vAlign w:val="center"/>
          </w:tcPr>
          <w:p w14:paraId="49AE39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管委会</w:t>
            </w:r>
          </w:p>
        </w:tc>
        <w:tc>
          <w:tcPr>
            <w:tcW w:w="2360" w:type="dxa"/>
            <w:noWrap w:val="0"/>
            <w:vAlign w:val="center"/>
          </w:tcPr>
          <w:p w14:paraId="2DED33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经济发展局、规划建设局、招商服务中心</w:t>
            </w:r>
          </w:p>
        </w:tc>
      </w:tr>
      <w:tr w14:paraId="4AD0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64" w:type="dxa"/>
            <w:noWrap w:val="0"/>
            <w:vAlign w:val="center"/>
          </w:tcPr>
          <w:p w14:paraId="77B5F9AD">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审批服务</w:t>
            </w:r>
          </w:p>
        </w:tc>
        <w:tc>
          <w:tcPr>
            <w:tcW w:w="3205" w:type="dxa"/>
            <w:noWrap w:val="0"/>
            <w:vAlign w:val="center"/>
          </w:tcPr>
          <w:p w14:paraId="19CE44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企业与管委会签订承诺书，协调各部门做好项目审批服务</w:t>
            </w:r>
          </w:p>
        </w:tc>
        <w:tc>
          <w:tcPr>
            <w:tcW w:w="2481" w:type="dxa"/>
            <w:noWrap w:val="0"/>
            <w:vAlign w:val="center"/>
          </w:tcPr>
          <w:p w14:paraId="506CD1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kern w:val="2"/>
                <w:sz w:val="22"/>
                <w:szCs w:val="22"/>
                <w:vertAlign w:val="baseline"/>
                <w:lang w:val="en-US" w:eastAsia="zh-CN" w:bidi="ar-SA"/>
              </w:rPr>
              <w:t>各相关部门</w:t>
            </w:r>
          </w:p>
        </w:tc>
        <w:tc>
          <w:tcPr>
            <w:tcW w:w="2360" w:type="dxa"/>
            <w:noWrap w:val="0"/>
            <w:vAlign w:val="center"/>
          </w:tcPr>
          <w:p w14:paraId="7E54DF1B">
            <w:pPr>
              <w:keepNext w:val="0"/>
              <w:keepLines w:val="0"/>
              <w:pageBreakBefore w:val="0"/>
              <w:widowControl w:val="0"/>
              <w:kinsoku/>
              <w:wordWrap/>
              <w:overflowPunct/>
              <w:topLinePunct w:val="0"/>
              <w:bidi w:val="0"/>
              <w:snapToGrid/>
              <w:spacing w:line="587" w:lineRule="exact"/>
              <w:ind w:firstLine="418" w:firstLineChars="200"/>
              <w:jc w:val="both"/>
              <w:rPr>
                <w:rFonts w:hint="eastAsia" w:ascii="仿宋_GB2312" w:hAnsi="仿宋_GB2312" w:eastAsia="仿宋_GB2312" w:cs="仿宋_GB2312"/>
                <w:b w:val="0"/>
                <w:bCs w:val="0"/>
                <w:w w:val="95"/>
                <w:kern w:val="2"/>
                <w:sz w:val="22"/>
                <w:szCs w:val="22"/>
                <w:vertAlign w:val="baseline"/>
                <w:lang w:val="en-US" w:eastAsia="zh-CN" w:bidi="ar-SA"/>
              </w:rPr>
            </w:pPr>
          </w:p>
        </w:tc>
      </w:tr>
      <w:tr w14:paraId="4B37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64" w:type="dxa"/>
            <w:noWrap w:val="0"/>
            <w:vAlign w:val="center"/>
          </w:tcPr>
          <w:p w14:paraId="11391B7E">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按标施建</w:t>
            </w:r>
          </w:p>
        </w:tc>
        <w:tc>
          <w:tcPr>
            <w:tcW w:w="3205" w:type="dxa"/>
            <w:noWrap w:val="0"/>
            <w:vAlign w:val="center"/>
          </w:tcPr>
          <w:p w14:paraId="7FE0CAC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指导企业按照承诺标准建设</w:t>
            </w:r>
          </w:p>
        </w:tc>
        <w:tc>
          <w:tcPr>
            <w:tcW w:w="2481" w:type="dxa"/>
            <w:noWrap w:val="0"/>
            <w:vAlign w:val="center"/>
          </w:tcPr>
          <w:p w14:paraId="58A31A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规划建设局</w:t>
            </w:r>
          </w:p>
        </w:tc>
        <w:tc>
          <w:tcPr>
            <w:tcW w:w="2360" w:type="dxa"/>
            <w:noWrap w:val="0"/>
            <w:vAlign w:val="center"/>
          </w:tcPr>
          <w:p w14:paraId="11E537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经济发展局、招商服务中心</w:t>
            </w:r>
          </w:p>
        </w:tc>
      </w:tr>
      <w:tr w14:paraId="54F2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664" w:type="dxa"/>
            <w:noWrap w:val="0"/>
            <w:vAlign w:val="center"/>
          </w:tcPr>
          <w:p w14:paraId="2EA2648E">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对标验收</w:t>
            </w:r>
          </w:p>
        </w:tc>
        <w:tc>
          <w:tcPr>
            <w:tcW w:w="3205" w:type="dxa"/>
            <w:noWrap w:val="0"/>
            <w:vAlign w:val="center"/>
          </w:tcPr>
          <w:p w14:paraId="0A3D64B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对照《山丹城北工业园区项目“标准地”履约责任书》进行联合验收</w:t>
            </w:r>
          </w:p>
        </w:tc>
        <w:tc>
          <w:tcPr>
            <w:tcW w:w="2481" w:type="dxa"/>
            <w:noWrap w:val="0"/>
            <w:vAlign w:val="center"/>
          </w:tcPr>
          <w:p w14:paraId="2FBD3B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各相关部门</w:t>
            </w:r>
          </w:p>
        </w:tc>
        <w:tc>
          <w:tcPr>
            <w:tcW w:w="2360" w:type="dxa"/>
            <w:noWrap w:val="0"/>
            <w:vAlign w:val="center"/>
          </w:tcPr>
          <w:p w14:paraId="61BF5D8B">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p>
        </w:tc>
      </w:tr>
      <w:tr w14:paraId="1647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664" w:type="dxa"/>
            <w:noWrap w:val="0"/>
            <w:vAlign w:val="center"/>
          </w:tcPr>
          <w:p w14:paraId="40EAFC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亩均固定资产投资强度复核</w:t>
            </w:r>
          </w:p>
        </w:tc>
        <w:tc>
          <w:tcPr>
            <w:tcW w:w="3205" w:type="dxa"/>
            <w:noWrap w:val="0"/>
            <w:vAlign w:val="center"/>
          </w:tcPr>
          <w:p w14:paraId="0B8CA56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对照《山丹城北工业园区项目“标准地”履约责任书》进行复核</w:t>
            </w:r>
          </w:p>
        </w:tc>
        <w:tc>
          <w:tcPr>
            <w:tcW w:w="2481" w:type="dxa"/>
            <w:noWrap w:val="0"/>
            <w:vAlign w:val="center"/>
          </w:tcPr>
          <w:p w14:paraId="047857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招商服务中心</w:t>
            </w:r>
          </w:p>
        </w:tc>
        <w:tc>
          <w:tcPr>
            <w:tcW w:w="2360" w:type="dxa"/>
            <w:noWrap w:val="0"/>
            <w:vAlign w:val="center"/>
          </w:tcPr>
          <w:p w14:paraId="53408989">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p>
        </w:tc>
      </w:tr>
      <w:tr w14:paraId="3575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664" w:type="dxa"/>
            <w:noWrap w:val="0"/>
            <w:vAlign w:val="center"/>
          </w:tcPr>
          <w:p w14:paraId="1D5307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亩均税收复核</w:t>
            </w:r>
          </w:p>
        </w:tc>
        <w:tc>
          <w:tcPr>
            <w:tcW w:w="3205" w:type="dxa"/>
            <w:noWrap w:val="0"/>
            <w:vAlign w:val="center"/>
          </w:tcPr>
          <w:p w14:paraId="16B5CFC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w w:val="95"/>
                <w:kern w:val="2"/>
                <w:sz w:val="22"/>
                <w:szCs w:val="22"/>
                <w:vertAlign w:val="baseline"/>
                <w:lang w:val="en-US" w:eastAsia="zh-CN" w:bidi="ar-SA"/>
              </w:rPr>
            </w:pPr>
            <w:r>
              <w:rPr>
                <w:rFonts w:hint="eastAsia" w:ascii="仿宋_GB2312" w:hAnsi="仿宋_GB2312" w:eastAsia="仿宋_GB2312" w:cs="仿宋_GB2312"/>
                <w:b w:val="0"/>
                <w:bCs w:val="0"/>
                <w:w w:val="95"/>
                <w:sz w:val="22"/>
                <w:szCs w:val="22"/>
                <w:vertAlign w:val="baseline"/>
                <w:lang w:val="en-US" w:eastAsia="zh-CN"/>
              </w:rPr>
              <w:t>对照《山丹城北工业园区项目“标准地”履约责任书》进行复核</w:t>
            </w:r>
          </w:p>
        </w:tc>
        <w:tc>
          <w:tcPr>
            <w:tcW w:w="2481" w:type="dxa"/>
            <w:noWrap w:val="0"/>
            <w:vAlign w:val="center"/>
          </w:tcPr>
          <w:p w14:paraId="17E13C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经济发展局、物流园管理服务中心</w:t>
            </w:r>
          </w:p>
        </w:tc>
        <w:tc>
          <w:tcPr>
            <w:tcW w:w="2360" w:type="dxa"/>
            <w:noWrap w:val="0"/>
            <w:vAlign w:val="center"/>
          </w:tcPr>
          <w:p w14:paraId="31C98BA8">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p>
        </w:tc>
      </w:tr>
      <w:tr w14:paraId="1455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664" w:type="dxa"/>
            <w:noWrap w:val="0"/>
            <w:vAlign w:val="center"/>
          </w:tcPr>
          <w:p w14:paraId="224820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容积率、绿化率复核</w:t>
            </w:r>
          </w:p>
        </w:tc>
        <w:tc>
          <w:tcPr>
            <w:tcW w:w="3205" w:type="dxa"/>
            <w:noWrap w:val="0"/>
            <w:vAlign w:val="center"/>
          </w:tcPr>
          <w:p w14:paraId="486D668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w w:val="95"/>
                <w:kern w:val="2"/>
                <w:sz w:val="22"/>
                <w:szCs w:val="22"/>
                <w:vertAlign w:val="baseline"/>
                <w:lang w:val="en-US" w:eastAsia="zh-CN" w:bidi="ar-SA"/>
              </w:rPr>
            </w:pPr>
            <w:r>
              <w:rPr>
                <w:rFonts w:hint="eastAsia" w:ascii="仿宋_GB2312" w:hAnsi="仿宋_GB2312" w:eastAsia="仿宋_GB2312" w:cs="仿宋_GB2312"/>
                <w:b w:val="0"/>
                <w:bCs w:val="0"/>
                <w:w w:val="95"/>
                <w:sz w:val="22"/>
                <w:szCs w:val="22"/>
                <w:vertAlign w:val="baseline"/>
                <w:lang w:val="en-US" w:eastAsia="zh-CN"/>
              </w:rPr>
              <w:t>对照《山丹城北工业园区项目“标准地”履约责任书》进行复核</w:t>
            </w:r>
          </w:p>
        </w:tc>
        <w:tc>
          <w:tcPr>
            <w:tcW w:w="2481" w:type="dxa"/>
            <w:noWrap w:val="0"/>
            <w:vAlign w:val="center"/>
          </w:tcPr>
          <w:p w14:paraId="42218AA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经济发展局、规划建设局、</w:t>
            </w:r>
          </w:p>
        </w:tc>
        <w:tc>
          <w:tcPr>
            <w:tcW w:w="2360" w:type="dxa"/>
            <w:noWrap w:val="0"/>
            <w:vAlign w:val="center"/>
          </w:tcPr>
          <w:p w14:paraId="6A3D1D57">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p>
        </w:tc>
      </w:tr>
      <w:tr w14:paraId="5A06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64" w:type="dxa"/>
            <w:noWrap w:val="0"/>
            <w:vAlign w:val="center"/>
          </w:tcPr>
          <w:p w14:paraId="55194F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综合评价和联合惩戒</w:t>
            </w:r>
          </w:p>
        </w:tc>
        <w:tc>
          <w:tcPr>
            <w:tcW w:w="3205" w:type="dxa"/>
            <w:noWrap w:val="0"/>
            <w:vAlign w:val="center"/>
          </w:tcPr>
          <w:p w14:paraId="2AD1A56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对企业投资项目“标准地”的承诺行为信息和履约情况进行综合评价，依照履约情况进行奖惩。</w:t>
            </w:r>
          </w:p>
        </w:tc>
        <w:tc>
          <w:tcPr>
            <w:tcW w:w="2481" w:type="dxa"/>
            <w:noWrap w:val="0"/>
            <w:vAlign w:val="center"/>
          </w:tcPr>
          <w:p w14:paraId="072D2326">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管委会</w:t>
            </w:r>
          </w:p>
        </w:tc>
        <w:tc>
          <w:tcPr>
            <w:tcW w:w="2360" w:type="dxa"/>
            <w:noWrap w:val="0"/>
            <w:vAlign w:val="center"/>
          </w:tcPr>
          <w:p w14:paraId="757B2B42">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22"/>
                <w:szCs w:val="22"/>
                <w:vertAlign w:val="baseline"/>
                <w:lang w:val="en-US" w:eastAsia="zh-CN"/>
              </w:rPr>
            </w:pPr>
            <w:r>
              <w:rPr>
                <w:rFonts w:hint="eastAsia" w:ascii="仿宋_GB2312" w:hAnsi="仿宋_GB2312" w:eastAsia="仿宋_GB2312" w:cs="仿宋_GB2312"/>
                <w:b w:val="0"/>
                <w:bCs w:val="0"/>
                <w:w w:val="95"/>
                <w:sz w:val="22"/>
                <w:szCs w:val="22"/>
                <w:vertAlign w:val="baseline"/>
                <w:lang w:val="en-US" w:eastAsia="zh-CN"/>
              </w:rPr>
              <w:t>各相关部门</w:t>
            </w:r>
          </w:p>
        </w:tc>
      </w:tr>
    </w:tbl>
    <w:p w14:paraId="2AB9994E">
      <w:pPr>
        <w:keepNext w:val="0"/>
        <w:keepLines w:val="0"/>
        <w:pageBreakBefore w:val="0"/>
        <w:widowControl w:val="0"/>
        <w:kinsoku/>
        <w:wordWrap/>
        <w:overflowPunct/>
        <w:topLinePunct w:val="0"/>
        <w:bidi w:val="0"/>
        <w:snapToGrid/>
        <w:spacing w:line="587" w:lineRule="exact"/>
        <w:jc w:val="center"/>
        <w:rPr>
          <w:rFonts w:hint="eastAsia" w:ascii="方正小标宋简体" w:hAnsi="方正小标宋简体" w:eastAsia="方正小标宋简体" w:cs="方正小标宋简体"/>
          <w:b w:val="0"/>
          <w:bCs w:val="0"/>
          <w:w w:val="95"/>
          <w:sz w:val="44"/>
          <w:szCs w:val="44"/>
          <w:lang w:val="en-US" w:eastAsia="zh-CN"/>
        </w:rPr>
      </w:pPr>
    </w:p>
    <w:p w14:paraId="175134CD">
      <w:pPr>
        <w:keepNext w:val="0"/>
        <w:keepLines w:val="0"/>
        <w:pageBreakBefore w:val="0"/>
        <w:widowControl w:val="0"/>
        <w:kinsoku/>
        <w:wordWrap/>
        <w:overflowPunct/>
        <w:topLinePunct w:val="0"/>
        <w:bidi w:val="0"/>
        <w:snapToGrid/>
        <w:spacing w:line="587" w:lineRule="exact"/>
        <w:jc w:val="center"/>
        <w:rPr>
          <w:rFonts w:hint="eastAsia" w:ascii="方正小标宋简体" w:hAnsi="方正小标宋简体" w:eastAsia="方正小标宋简体" w:cs="方正小标宋简体"/>
          <w:b w:val="0"/>
          <w:bCs w:val="0"/>
          <w:w w:val="95"/>
          <w:sz w:val="44"/>
          <w:szCs w:val="44"/>
          <w:lang w:val="en-US" w:eastAsia="zh-CN"/>
        </w:rPr>
      </w:pPr>
      <w:r>
        <w:rPr>
          <w:rFonts w:hint="eastAsia" w:ascii="方正小标宋简体" w:hAnsi="方正小标宋简体" w:eastAsia="方正小标宋简体" w:cs="方正小标宋简体"/>
          <w:b w:val="0"/>
          <w:bCs w:val="0"/>
          <w:w w:val="95"/>
          <w:sz w:val="44"/>
          <w:szCs w:val="44"/>
          <w:lang w:val="en-US" w:eastAsia="zh-CN"/>
        </w:rPr>
        <w:t>山丹城北工业园区区域评估事项</w:t>
      </w:r>
    </w:p>
    <w:p w14:paraId="31E85005">
      <w:pPr>
        <w:pStyle w:val="7"/>
        <w:keepNext w:val="0"/>
        <w:keepLines w:val="0"/>
        <w:pageBreakBefore w:val="0"/>
        <w:widowControl w:val="0"/>
        <w:kinsoku/>
        <w:wordWrap/>
        <w:overflowPunct/>
        <w:topLinePunct w:val="0"/>
        <w:bidi w:val="0"/>
        <w:snapToGrid/>
        <w:spacing w:line="587" w:lineRule="exact"/>
        <w:rPr>
          <w:rFonts w:hint="eastAsia"/>
          <w:lang w:val="en-US" w:eastAsia="zh-CN"/>
        </w:rPr>
      </w:pPr>
    </w:p>
    <w:tbl>
      <w:tblPr>
        <w:tblStyle w:val="9"/>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4067"/>
        <w:gridCol w:w="3463"/>
      </w:tblGrid>
      <w:tr w14:paraId="6190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exact"/>
          <w:jc w:val="center"/>
        </w:trPr>
        <w:tc>
          <w:tcPr>
            <w:tcW w:w="1468" w:type="dxa"/>
            <w:noWrap w:val="0"/>
            <w:vAlign w:val="center"/>
          </w:tcPr>
          <w:p w14:paraId="4528B2F0">
            <w:pPr>
              <w:keepNext w:val="0"/>
              <w:keepLines w:val="0"/>
              <w:pageBreakBefore w:val="0"/>
              <w:widowControl w:val="0"/>
              <w:kinsoku/>
              <w:wordWrap/>
              <w:overflowPunct/>
              <w:topLinePunct w:val="0"/>
              <w:bidi w:val="0"/>
              <w:snapToGrid/>
              <w:spacing w:line="587" w:lineRule="exact"/>
              <w:jc w:val="center"/>
              <w:rPr>
                <w:rFonts w:hint="eastAsia" w:ascii="黑体" w:hAnsi="黑体" w:eastAsia="黑体" w:cs="黑体"/>
                <w:b w:val="0"/>
                <w:bCs w:val="0"/>
                <w:w w:val="95"/>
                <w:sz w:val="32"/>
                <w:szCs w:val="32"/>
                <w:vertAlign w:val="baseline"/>
                <w:lang w:val="en-US" w:eastAsia="zh-CN"/>
              </w:rPr>
            </w:pPr>
            <w:r>
              <w:rPr>
                <w:rFonts w:hint="eastAsia" w:ascii="黑体" w:hAnsi="黑体" w:eastAsia="黑体" w:cs="黑体"/>
                <w:b w:val="0"/>
                <w:bCs w:val="0"/>
                <w:w w:val="95"/>
                <w:sz w:val="32"/>
                <w:szCs w:val="32"/>
                <w:vertAlign w:val="baseline"/>
                <w:lang w:val="en-US" w:eastAsia="zh-CN"/>
              </w:rPr>
              <w:t>序号</w:t>
            </w:r>
          </w:p>
        </w:tc>
        <w:tc>
          <w:tcPr>
            <w:tcW w:w="4067" w:type="dxa"/>
            <w:noWrap w:val="0"/>
            <w:vAlign w:val="center"/>
          </w:tcPr>
          <w:p w14:paraId="2E5754BC">
            <w:pPr>
              <w:keepNext w:val="0"/>
              <w:keepLines w:val="0"/>
              <w:pageBreakBefore w:val="0"/>
              <w:widowControl w:val="0"/>
              <w:kinsoku/>
              <w:wordWrap/>
              <w:overflowPunct/>
              <w:topLinePunct w:val="0"/>
              <w:bidi w:val="0"/>
              <w:snapToGrid/>
              <w:spacing w:line="587" w:lineRule="exact"/>
              <w:jc w:val="center"/>
              <w:rPr>
                <w:rFonts w:hint="eastAsia" w:ascii="黑体" w:hAnsi="黑体" w:eastAsia="黑体" w:cs="黑体"/>
                <w:b w:val="0"/>
                <w:bCs w:val="0"/>
                <w:w w:val="95"/>
                <w:sz w:val="32"/>
                <w:szCs w:val="32"/>
                <w:vertAlign w:val="baseline"/>
                <w:lang w:val="en-US" w:eastAsia="zh-CN"/>
              </w:rPr>
            </w:pPr>
            <w:r>
              <w:rPr>
                <w:rFonts w:hint="eastAsia" w:ascii="黑体" w:hAnsi="黑体" w:eastAsia="黑体" w:cs="黑体"/>
                <w:b w:val="0"/>
                <w:bCs w:val="0"/>
                <w:w w:val="95"/>
                <w:sz w:val="32"/>
                <w:szCs w:val="32"/>
                <w:vertAlign w:val="baseline"/>
                <w:lang w:val="en-US" w:eastAsia="zh-CN"/>
              </w:rPr>
              <w:t>评估事项</w:t>
            </w:r>
          </w:p>
        </w:tc>
        <w:tc>
          <w:tcPr>
            <w:tcW w:w="3463" w:type="dxa"/>
            <w:noWrap w:val="0"/>
            <w:vAlign w:val="center"/>
          </w:tcPr>
          <w:p w14:paraId="3D78EAD1">
            <w:pPr>
              <w:keepNext w:val="0"/>
              <w:keepLines w:val="0"/>
              <w:pageBreakBefore w:val="0"/>
              <w:widowControl w:val="0"/>
              <w:kinsoku/>
              <w:wordWrap/>
              <w:overflowPunct/>
              <w:topLinePunct w:val="0"/>
              <w:bidi w:val="0"/>
              <w:snapToGrid/>
              <w:spacing w:line="587" w:lineRule="exact"/>
              <w:jc w:val="center"/>
              <w:rPr>
                <w:rFonts w:hint="eastAsia" w:ascii="黑体" w:hAnsi="黑体" w:eastAsia="黑体" w:cs="黑体"/>
                <w:b w:val="0"/>
                <w:bCs w:val="0"/>
                <w:w w:val="95"/>
                <w:sz w:val="32"/>
                <w:szCs w:val="32"/>
                <w:vertAlign w:val="baseline"/>
                <w:lang w:val="en-US" w:eastAsia="zh-CN"/>
              </w:rPr>
            </w:pPr>
            <w:r>
              <w:rPr>
                <w:rFonts w:hint="eastAsia" w:ascii="黑体" w:hAnsi="黑体" w:eastAsia="黑体" w:cs="黑体"/>
                <w:b w:val="0"/>
                <w:bCs w:val="0"/>
                <w:w w:val="95"/>
                <w:sz w:val="32"/>
                <w:szCs w:val="32"/>
                <w:vertAlign w:val="baseline"/>
                <w:lang w:val="en-US" w:eastAsia="zh-CN"/>
              </w:rPr>
              <w:t>责任部门</w:t>
            </w:r>
          </w:p>
        </w:tc>
      </w:tr>
      <w:tr w14:paraId="38FA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1468" w:type="dxa"/>
            <w:noWrap w:val="0"/>
            <w:vAlign w:val="center"/>
          </w:tcPr>
          <w:p w14:paraId="43002C45">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Cs/>
                <w:color w:val="auto"/>
                <w:sz w:val="32"/>
                <w:szCs w:val="32"/>
                <w:highlight w:val="none"/>
                <w:shd w:val="clear" w:color="auto" w:fill="FFFFFF"/>
                <w:lang w:val="en-US" w:eastAsia="zh-CN"/>
              </w:rPr>
            </w:pPr>
            <w:r>
              <w:rPr>
                <w:rFonts w:hint="eastAsia" w:ascii="仿宋_GB2312" w:hAnsi="仿宋_GB2312" w:eastAsia="仿宋_GB2312" w:cs="仿宋_GB2312"/>
                <w:bCs/>
                <w:color w:val="auto"/>
                <w:sz w:val="32"/>
                <w:szCs w:val="32"/>
                <w:highlight w:val="none"/>
                <w:shd w:val="clear" w:color="auto" w:fill="FFFFFF"/>
                <w:lang w:val="en-US" w:eastAsia="zh-CN"/>
              </w:rPr>
              <w:t>1</w:t>
            </w:r>
          </w:p>
        </w:tc>
        <w:tc>
          <w:tcPr>
            <w:tcW w:w="4067" w:type="dxa"/>
            <w:noWrap w:val="0"/>
            <w:vAlign w:val="center"/>
          </w:tcPr>
          <w:p w14:paraId="771D52E2">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压覆重要矿产资源</w:t>
            </w:r>
          </w:p>
        </w:tc>
        <w:tc>
          <w:tcPr>
            <w:tcW w:w="3463" w:type="dxa"/>
            <w:noWrap w:val="0"/>
            <w:vAlign w:val="center"/>
          </w:tcPr>
          <w:p w14:paraId="7D8AA91D">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县自然资源局</w:t>
            </w:r>
          </w:p>
        </w:tc>
      </w:tr>
      <w:tr w14:paraId="14FE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1468" w:type="dxa"/>
            <w:noWrap w:val="0"/>
            <w:vAlign w:val="center"/>
          </w:tcPr>
          <w:p w14:paraId="529F07F1">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Cs/>
                <w:color w:val="auto"/>
                <w:sz w:val="32"/>
                <w:szCs w:val="32"/>
                <w:highlight w:val="none"/>
                <w:shd w:val="clear" w:color="auto" w:fill="FFFFFF"/>
                <w:lang w:val="en-US" w:eastAsia="zh-CN"/>
              </w:rPr>
            </w:pPr>
            <w:r>
              <w:rPr>
                <w:rFonts w:hint="eastAsia" w:ascii="仿宋_GB2312" w:hAnsi="仿宋_GB2312" w:eastAsia="仿宋_GB2312" w:cs="仿宋_GB2312"/>
                <w:bCs/>
                <w:color w:val="auto"/>
                <w:sz w:val="32"/>
                <w:szCs w:val="32"/>
                <w:highlight w:val="none"/>
                <w:shd w:val="clear" w:color="auto" w:fill="FFFFFF"/>
                <w:lang w:val="en-US" w:eastAsia="zh-CN"/>
              </w:rPr>
              <w:t>2</w:t>
            </w:r>
          </w:p>
        </w:tc>
        <w:tc>
          <w:tcPr>
            <w:tcW w:w="4067" w:type="dxa"/>
            <w:noWrap w:val="0"/>
            <w:vAlign w:val="center"/>
          </w:tcPr>
          <w:p w14:paraId="6B0CCACE">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环境影响评价</w:t>
            </w:r>
          </w:p>
        </w:tc>
        <w:tc>
          <w:tcPr>
            <w:tcW w:w="3463" w:type="dxa"/>
            <w:noWrap w:val="0"/>
            <w:vAlign w:val="center"/>
          </w:tcPr>
          <w:p w14:paraId="295098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市生态环境局山丹分局</w:t>
            </w:r>
          </w:p>
        </w:tc>
      </w:tr>
      <w:tr w14:paraId="5A48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1468" w:type="dxa"/>
            <w:noWrap w:val="0"/>
            <w:vAlign w:val="center"/>
          </w:tcPr>
          <w:p w14:paraId="3B2E46CC">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Cs/>
                <w:color w:val="auto"/>
                <w:sz w:val="32"/>
                <w:szCs w:val="32"/>
                <w:highlight w:val="none"/>
                <w:shd w:val="clear" w:color="auto" w:fill="FFFFFF"/>
                <w:lang w:val="en-US" w:eastAsia="zh-CN"/>
              </w:rPr>
            </w:pPr>
            <w:r>
              <w:rPr>
                <w:rFonts w:hint="eastAsia" w:ascii="仿宋_GB2312" w:hAnsi="仿宋_GB2312" w:eastAsia="仿宋_GB2312" w:cs="仿宋_GB2312"/>
                <w:bCs/>
                <w:color w:val="auto"/>
                <w:sz w:val="32"/>
                <w:szCs w:val="32"/>
                <w:highlight w:val="none"/>
                <w:shd w:val="clear" w:color="auto" w:fill="FFFFFF"/>
                <w:lang w:val="en-US" w:eastAsia="zh-CN"/>
              </w:rPr>
              <w:t>3</w:t>
            </w:r>
          </w:p>
        </w:tc>
        <w:tc>
          <w:tcPr>
            <w:tcW w:w="4067" w:type="dxa"/>
            <w:noWrap w:val="0"/>
            <w:vAlign w:val="center"/>
          </w:tcPr>
          <w:p w14:paraId="35C1BFFB">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节能审查</w:t>
            </w:r>
          </w:p>
        </w:tc>
        <w:tc>
          <w:tcPr>
            <w:tcW w:w="3463" w:type="dxa"/>
            <w:noWrap w:val="0"/>
            <w:vAlign w:val="center"/>
          </w:tcPr>
          <w:p w14:paraId="7C08F0E6">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县发改局</w:t>
            </w:r>
          </w:p>
        </w:tc>
      </w:tr>
      <w:tr w14:paraId="1749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1468" w:type="dxa"/>
            <w:noWrap w:val="0"/>
            <w:vAlign w:val="center"/>
          </w:tcPr>
          <w:p w14:paraId="5C3F0FDF">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Cs/>
                <w:color w:val="auto"/>
                <w:sz w:val="32"/>
                <w:szCs w:val="32"/>
                <w:highlight w:val="none"/>
                <w:shd w:val="clear" w:color="auto" w:fill="FFFFFF"/>
                <w:lang w:val="en-US" w:eastAsia="zh-CN"/>
              </w:rPr>
            </w:pPr>
            <w:r>
              <w:rPr>
                <w:rFonts w:hint="eastAsia" w:ascii="仿宋_GB2312" w:hAnsi="仿宋_GB2312" w:eastAsia="仿宋_GB2312" w:cs="仿宋_GB2312"/>
                <w:bCs/>
                <w:color w:val="auto"/>
                <w:sz w:val="32"/>
                <w:szCs w:val="32"/>
                <w:highlight w:val="none"/>
                <w:shd w:val="clear" w:color="auto" w:fill="FFFFFF"/>
                <w:lang w:val="en-US" w:eastAsia="zh-CN"/>
              </w:rPr>
              <w:t>4</w:t>
            </w:r>
          </w:p>
        </w:tc>
        <w:tc>
          <w:tcPr>
            <w:tcW w:w="4067" w:type="dxa"/>
            <w:noWrap w:val="0"/>
            <w:vAlign w:val="center"/>
          </w:tcPr>
          <w:p w14:paraId="61DF9AC5">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地质灾害危险性评估</w:t>
            </w:r>
          </w:p>
        </w:tc>
        <w:tc>
          <w:tcPr>
            <w:tcW w:w="3463" w:type="dxa"/>
            <w:noWrap w:val="0"/>
            <w:vAlign w:val="center"/>
          </w:tcPr>
          <w:p w14:paraId="60509818">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县自然资源局</w:t>
            </w:r>
          </w:p>
        </w:tc>
      </w:tr>
      <w:tr w14:paraId="1B64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jc w:val="center"/>
        </w:trPr>
        <w:tc>
          <w:tcPr>
            <w:tcW w:w="1468" w:type="dxa"/>
            <w:noWrap w:val="0"/>
            <w:vAlign w:val="center"/>
          </w:tcPr>
          <w:p w14:paraId="309A5B48">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Cs/>
                <w:color w:val="auto"/>
                <w:sz w:val="32"/>
                <w:szCs w:val="32"/>
                <w:highlight w:val="none"/>
                <w:shd w:val="clear" w:color="auto" w:fill="FFFFFF"/>
                <w:lang w:val="en-US" w:eastAsia="zh-CN"/>
              </w:rPr>
            </w:pPr>
            <w:r>
              <w:rPr>
                <w:rFonts w:hint="eastAsia" w:ascii="仿宋_GB2312" w:hAnsi="仿宋_GB2312" w:eastAsia="仿宋_GB2312" w:cs="仿宋_GB2312"/>
                <w:bCs/>
                <w:color w:val="auto"/>
                <w:sz w:val="32"/>
                <w:szCs w:val="32"/>
                <w:highlight w:val="none"/>
                <w:shd w:val="clear" w:color="auto" w:fill="FFFFFF"/>
                <w:lang w:val="en-US" w:eastAsia="zh-CN"/>
              </w:rPr>
              <w:t>5</w:t>
            </w:r>
          </w:p>
        </w:tc>
        <w:tc>
          <w:tcPr>
            <w:tcW w:w="4067" w:type="dxa"/>
            <w:noWrap w:val="0"/>
            <w:vAlign w:val="center"/>
          </w:tcPr>
          <w:p w14:paraId="1E1BF2EA">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地震安全性评价</w:t>
            </w:r>
          </w:p>
        </w:tc>
        <w:tc>
          <w:tcPr>
            <w:tcW w:w="3463" w:type="dxa"/>
            <w:noWrap w:val="0"/>
            <w:vAlign w:val="center"/>
          </w:tcPr>
          <w:p w14:paraId="19B8A766">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县地震局</w:t>
            </w:r>
          </w:p>
        </w:tc>
      </w:tr>
      <w:tr w14:paraId="646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1468" w:type="dxa"/>
            <w:noWrap w:val="0"/>
            <w:vAlign w:val="center"/>
          </w:tcPr>
          <w:p w14:paraId="6C689914">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Cs/>
                <w:color w:val="auto"/>
                <w:sz w:val="32"/>
                <w:szCs w:val="32"/>
                <w:highlight w:val="none"/>
                <w:shd w:val="clear" w:color="auto" w:fill="FFFFFF"/>
                <w:lang w:val="en-US" w:eastAsia="zh-CN"/>
              </w:rPr>
            </w:pPr>
            <w:r>
              <w:rPr>
                <w:rFonts w:hint="eastAsia" w:ascii="仿宋_GB2312" w:hAnsi="仿宋_GB2312" w:cs="仿宋_GB2312"/>
                <w:bCs/>
                <w:color w:val="auto"/>
                <w:sz w:val="32"/>
                <w:szCs w:val="32"/>
                <w:highlight w:val="none"/>
                <w:shd w:val="clear" w:color="auto" w:fill="FFFFFF"/>
                <w:lang w:val="en-US" w:eastAsia="zh-CN"/>
              </w:rPr>
              <w:t>6</w:t>
            </w:r>
          </w:p>
        </w:tc>
        <w:tc>
          <w:tcPr>
            <w:tcW w:w="4067" w:type="dxa"/>
            <w:noWrap w:val="0"/>
            <w:vAlign w:val="center"/>
          </w:tcPr>
          <w:p w14:paraId="7265C254">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水资源论证</w:t>
            </w:r>
          </w:p>
        </w:tc>
        <w:tc>
          <w:tcPr>
            <w:tcW w:w="3463" w:type="dxa"/>
            <w:noWrap w:val="0"/>
            <w:vAlign w:val="center"/>
          </w:tcPr>
          <w:p w14:paraId="395B6384">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县水务局</w:t>
            </w:r>
          </w:p>
        </w:tc>
      </w:tr>
      <w:tr w14:paraId="59C3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1468" w:type="dxa"/>
            <w:noWrap w:val="0"/>
            <w:vAlign w:val="center"/>
          </w:tcPr>
          <w:p w14:paraId="56CE7E91">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Cs/>
                <w:color w:val="auto"/>
                <w:sz w:val="32"/>
                <w:szCs w:val="32"/>
                <w:highlight w:val="none"/>
                <w:shd w:val="clear" w:color="auto" w:fill="FFFFFF"/>
                <w:lang w:val="en-US" w:eastAsia="zh-CN"/>
              </w:rPr>
            </w:pPr>
            <w:r>
              <w:rPr>
                <w:rFonts w:hint="eastAsia" w:ascii="仿宋_GB2312" w:hAnsi="仿宋_GB2312" w:cs="仿宋_GB2312"/>
                <w:bCs/>
                <w:color w:val="auto"/>
                <w:sz w:val="32"/>
                <w:szCs w:val="32"/>
                <w:highlight w:val="none"/>
                <w:shd w:val="clear" w:color="auto" w:fill="FFFFFF"/>
                <w:lang w:val="en-US" w:eastAsia="zh-CN"/>
              </w:rPr>
              <w:t>7</w:t>
            </w:r>
          </w:p>
        </w:tc>
        <w:tc>
          <w:tcPr>
            <w:tcW w:w="4067" w:type="dxa"/>
            <w:noWrap w:val="0"/>
            <w:vAlign w:val="center"/>
          </w:tcPr>
          <w:p w14:paraId="295BE197">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水土保持评估</w:t>
            </w:r>
          </w:p>
        </w:tc>
        <w:tc>
          <w:tcPr>
            <w:tcW w:w="3463" w:type="dxa"/>
            <w:noWrap w:val="0"/>
            <w:vAlign w:val="center"/>
          </w:tcPr>
          <w:p w14:paraId="7F1A1DED">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县水务局</w:t>
            </w:r>
          </w:p>
        </w:tc>
      </w:tr>
      <w:tr w14:paraId="1A7F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1468" w:type="dxa"/>
            <w:noWrap w:val="0"/>
            <w:vAlign w:val="center"/>
          </w:tcPr>
          <w:p w14:paraId="6BD14193">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Cs/>
                <w:color w:val="auto"/>
                <w:sz w:val="32"/>
                <w:szCs w:val="32"/>
                <w:highlight w:val="none"/>
                <w:shd w:val="clear" w:color="auto" w:fill="FFFFFF"/>
                <w:lang w:val="en-US" w:eastAsia="zh-CN"/>
              </w:rPr>
            </w:pPr>
            <w:r>
              <w:rPr>
                <w:rFonts w:hint="eastAsia" w:ascii="仿宋_GB2312" w:hAnsi="仿宋_GB2312" w:cs="仿宋_GB2312"/>
                <w:bCs/>
                <w:color w:val="auto"/>
                <w:sz w:val="32"/>
                <w:szCs w:val="32"/>
                <w:highlight w:val="none"/>
                <w:shd w:val="clear" w:color="auto" w:fill="FFFFFF"/>
                <w:lang w:val="en-US" w:eastAsia="zh-CN"/>
              </w:rPr>
              <w:t>8</w:t>
            </w:r>
          </w:p>
        </w:tc>
        <w:tc>
          <w:tcPr>
            <w:tcW w:w="4067" w:type="dxa"/>
            <w:noWrap w:val="0"/>
            <w:vAlign w:val="center"/>
          </w:tcPr>
          <w:p w14:paraId="0530394E">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文物保护</w:t>
            </w:r>
          </w:p>
        </w:tc>
        <w:tc>
          <w:tcPr>
            <w:tcW w:w="3463" w:type="dxa"/>
            <w:noWrap w:val="0"/>
            <w:vAlign w:val="center"/>
          </w:tcPr>
          <w:p w14:paraId="33FBB10B">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县文体广旅局</w:t>
            </w:r>
          </w:p>
        </w:tc>
      </w:tr>
      <w:tr w14:paraId="5565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jc w:val="center"/>
        </w:trPr>
        <w:tc>
          <w:tcPr>
            <w:tcW w:w="1468" w:type="dxa"/>
            <w:noWrap w:val="0"/>
            <w:vAlign w:val="center"/>
          </w:tcPr>
          <w:p w14:paraId="4481B2C0">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Cs/>
                <w:color w:val="auto"/>
                <w:sz w:val="32"/>
                <w:szCs w:val="32"/>
                <w:highlight w:val="none"/>
                <w:shd w:val="clear" w:color="auto" w:fill="FFFFFF"/>
                <w:lang w:val="en-US" w:eastAsia="zh-CN"/>
              </w:rPr>
            </w:pPr>
            <w:r>
              <w:rPr>
                <w:rFonts w:hint="eastAsia" w:ascii="仿宋_GB2312" w:hAnsi="仿宋_GB2312" w:cs="仿宋_GB2312"/>
                <w:bCs/>
                <w:color w:val="auto"/>
                <w:sz w:val="32"/>
                <w:szCs w:val="32"/>
                <w:highlight w:val="none"/>
                <w:shd w:val="clear" w:color="auto" w:fill="FFFFFF"/>
                <w:lang w:val="en-US" w:eastAsia="zh-CN"/>
              </w:rPr>
              <w:t>9</w:t>
            </w:r>
          </w:p>
        </w:tc>
        <w:tc>
          <w:tcPr>
            <w:tcW w:w="4067" w:type="dxa"/>
            <w:noWrap w:val="0"/>
            <w:vAlign w:val="center"/>
          </w:tcPr>
          <w:p w14:paraId="39F4F73D">
            <w:pPr>
              <w:keepNext w:val="0"/>
              <w:keepLines w:val="0"/>
              <w:pageBreakBefore w:val="0"/>
              <w:widowControl w:val="0"/>
              <w:kinsoku/>
              <w:wordWrap/>
              <w:overflowPunct/>
              <w:topLinePunct w:val="0"/>
              <w:bidi w:val="0"/>
              <w:snapToGrid/>
              <w:spacing w:line="587" w:lineRule="exact"/>
              <w:jc w:val="center"/>
              <w:rPr>
                <w:rFonts w:hint="default"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气候可行性论证</w:t>
            </w:r>
          </w:p>
        </w:tc>
        <w:tc>
          <w:tcPr>
            <w:tcW w:w="3463" w:type="dxa"/>
            <w:noWrap w:val="0"/>
            <w:vAlign w:val="center"/>
          </w:tcPr>
          <w:p w14:paraId="68D47FB9">
            <w:pPr>
              <w:keepNext w:val="0"/>
              <w:keepLines w:val="0"/>
              <w:pageBreakBefore w:val="0"/>
              <w:widowControl w:val="0"/>
              <w:kinsoku/>
              <w:wordWrap/>
              <w:overflowPunct/>
              <w:topLinePunct w:val="0"/>
              <w:bidi w:val="0"/>
              <w:snapToGrid/>
              <w:spacing w:line="587" w:lineRule="exact"/>
              <w:jc w:val="center"/>
              <w:rPr>
                <w:rFonts w:hint="eastAsia" w:ascii="仿宋_GB2312" w:hAnsi="仿宋_GB2312" w:eastAsia="仿宋_GB2312" w:cs="仿宋_GB2312"/>
                <w:b w:val="0"/>
                <w:bCs w:val="0"/>
                <w:w w:val="95"/>
                <w:sz w:val="32"/>
                <w:szCs w:val="32"/>
                <w:vertAlign w:val="baseline"/>
                <w:lang w:val="en-US" w:eastAsia="zh-CN"/>
              </w:rPr>
            </w:pPr>
            <w:r>
              <w:rPr>
                <w:rFonts w:hint="eastAsia" w:ascii="仿宋_GB2312" w:hAnsi="仿宋_GB2312" w:eastAsia="仿宋_GB2312" w:cs="仿宋_GB2312"/>
                <w:b w:val="0"/>
                <w:bCs w:val="0"/>
                <w:w w:val="95"/>
                <w:sz w:val="32"/>
                <w:szCs w:val="32"/>
                <w:vertAlign w:val="baseline"/>
                <w:lang w:val="en-US" w:eastAsia="zh-CN"/>
              </w:rPr>
              <w:t>县气象局</w:t>
            </w:r>
          </w:p>
        </w:tc>
      </w:tr>
    </w:tbl>
    <w:p w14:paraId="1BFA3272">
      <w:pPr>
        <w:keepNext w:val="0"/>
        <w:keepLines w:val="0"/>
        <w:pageBreakBefore w:val="0"/>
        <w:widowControl w:val="0"/>
        <w:kinsoku/>
        <w:wordWrap/>
        <w:overflowPunct/>
        <w:topLinePunct w:val="0"/>
        <w:bidi w:val="0"/>
        <w:snapToGrid/>
        <w:spacing w:line="587" w:lineRule="exact"/>
      </w:pPr>
    </w:p>
    <w:sectPr>
      <w:footerReference r:id="rId5" w:type="default"/>
      <w:pgSz w:w="11906" w:h="16838"/>
      <w:pgMar w:top="2098" w:right="1474" w:bottom="1701" w:left="1587" w:header="1134" w:footer="1304"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仿宋_GB2312"/>
    <w:panose1 w:val="03000509000000000000"/>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BA4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D25C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6D25C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6B8C"/>
    <w:multiLevelType w:val="singleLevel"/>
    <w:tmpl w:val="EFFE6B8C"/>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MGZhOGE4YmE0OTMxOTg2OGMyY2Q0ODYzZDFiNDQifQ=="/>
  </w:docVars>
  <w:rsids>
    <w:rsidRoot w:val="FBFD45D1"/>
    <w:rsid w:val="02D52F84"/>
    <w:rsid w:val="0A193C90"/>
    <w:rsid w:val="0A6D18E6"/>
    <w:rsid w:val="0BE474C4"/>
    <w:rsid w:val="129C0FBA"/>
    <w:rsid w:val="17B2302E"/>
    <w:rsid w:val="196A3BC0"/>
    <w:rsid w:val="1A7C0231"/>
    <w:rsid w:val="1D861C28"/>
    <w:rsid w:val="1FB31799"/>
    <w:rsid w:val="226B3D1C"/>
    <w:rsid w:val="2886653D"/>
    <w:rsid w:val="2CA23B7D"/>
    <w:rsid w:val="2ED66247"/>
    <w:rsid w:val="3325357D"/>
    <w:rsid w:val="36372C24"/>
    <w:rsid w:val="3A6C4285"/>
    <w:rsid w:val="3ADA699E"/>
    <w:rsid w:val="3C380799"/>
    <w:rsid w:val="3DEB5505"/>
    <w:rsid w:val="3F951919"/>
    <w:rsid w:val="3FDE5539"/>
    <w:rsid w:val="41076E6B"/>
    <w:rsid w:val="416E3BA9"/>
    <w:rsid w:val="44781B38"/>
    <w:rsid w:val="46C87FF5"/>
    <w:rsid w:val="48AC40EC"/>
    <w:rsid w:val="4A944D8E"/>
    <w:rsid w:val="4ACD68F6"/>
    <w:rsid w:val="4E185D57"/>
    <w:rsid w:val="4FB92187"/>
    <w:rsid w:val="50CF582F"/>
    <w:rsid w:val="531B5F1D"/>
    <w:rsid w:val="55633935"/>
    <w:rsid w:val="58201313"/>
    <w:rsid w:val="5C470B4A"/>
    <w:rsid w:val="5D5B18AA"/>
    <w:rsid w:val="5E77192E"/>
    <w:rsid w:val="5F8D3C4A"/>
    <w:rsid w:val="61BB25FA"/>
    <w:rsid w:val="636D5E92"/>
    <w:rsid w:val="642B11E4"/>
    <w:rsid w:val="6FFFD237"/>
    <w:rsid w:val="776D03FF"/>
    <w:rsid w:val="7800167F"/>
    <w:rsid w:val="79364654"/>
    <w:rsid w:val="79BB0D90"/>
    <w:rsid w:val="79C71AEB"/>
    <w:rsid w:val="7A91287D"/>
    <w:rsid w:val="9FF5CE71"/>
    <w:rsid w:val="EDF7CBC5"/>
    <w:rsid w:val="FBFD45D1"/>
    <w:rsid w:val="FDDF9B02"/>
    <w:rsid w:val="FDFFF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rPr>
      <w:rFonts w:ascii="Calibri" w:hAnsi="Calibri" w:eastAsia="宋体" w:cs="Times New Roman"/>
    </w:rPr>
  </w:style>
  <w:style w:type="paragraph" w:styleId="3">
    <w:name w:val="Body Text"/>
    <w:basedOn w:val="1"/>
    <w:next w:val="4"/>
    <w:qFormat/>
    <w:uiPriority w:val="99"/>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index 6"/>
    <w:basedOn w:val="1"/>
    <w:next w:val="1"/>
    <w:unhideWhenUsed/>
    <w:qFormat/>
    <w:uiPriority w:val="99"/>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w:basedOn w:val="3"/>
    <w:qFormat/>
    <w:uiPriority w:val="99"/>
    <w:pPr>
      <w:autoSpaceDE w:val="0"/>
      <w:autoSpaceDN w:val="0"/>
      <w:adjustRightInd w:val="0"/>
      <w:spacing w:after="0" w:line="600" w:lineRule="atLeast"/>
      <w:ind w:firstLine="652"/>
      <w:textAlignment w:val="baseline"/>
    </w:pPr>
    <w:rPr>
      <w:rFonts w:eastAsia="仿宋_GB2312"/>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3679</Words>
  <Characters>3739</Characters>
  <Lines>0</Lines>
  <Paragraphs>0</Paragraphs>
  <TotalTime>86</TotalTime>
  <ScaleCrop>false</ScaleCrop>
  <LinksUpToDate>false</LinksUpToDate>
  <CharactersWithSpaces>3742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2022-05-26T19:11:00Z</dcterms:created>
  <dc:creator>inspur</dc:creator>
  <cp:lastModifiedBy>Administrator</cp:lastModifiedBy>
  <cp:lastPrinted>2026-01-23T07:34:00Z</cp:lastPrinted>
  <dcterms:modified xsi:type="dcterms:W3CDTF">2026-03-12T09:53:02Z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C86A3B2AC972490EAADC7212ABF3F90E</vt:lpwstr>
  </property>
  <property fmtid="{D5CDD505-2E9C-101B-9397-08002B2CF9AE}" pid="4" name="KSOTemplateDocerSaveRecord">
    <vt:lpwstr>eyJoZGlkIjoiY2NhOGI5YmFhY2Q5OTcwN2IxNjMxNGM5MzhkN2FjMWYiLCJ1c2VySWQiOiI2MDYxNTgxNDQifQ==</vt:lpwstr>
  </property>
</Properties>
</file>