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D4CF4">
      <w:pPr>
        <w:bidi w:val="0"/>
        <w:jc w:val="center"/>
        <w:rPr>
          <w:rFonts w:hint="eastAsia" w:asciiTheme="minorHAnsi" w:hAnsiTheme="minorHAnsi" w:eastAsiaTheme="minorEastAsia" w:cstheme="minorBidi"/>
          <w:kern w:val="2"/>
          <w:sz w:val="21"/>
          <w:szCs w:val="24"/>
          <w:lang w:val="en-US" w:eastAsia="zh-CN" w:bidi="ar-SA"/>
        </w:rPr>
      </w:pPr>
    </w:p>
    <w:p w14:paraId="728CE5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山丹县向中度以上失能老年人发放</w:t>
      </w:r>
    </w:p>
    <w:p w14:paraId="5ACBDE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养老服务消费补贴项目实施方案</w:t>
      </w:r>
    </w:p>
    <w:p w14:paraId="2151B6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（征求意见稿）</w:t>
      </w:r>
    </w:p>
    <w:p w14:paraId="227C20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33ED401C">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为深入贯彻积极应对人口老龄化国家战略，切实落实《甘肃省向中度以上失能老年人发放养老服务消费补贴项目实施方案》（甘民发〔2026〕</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号）要求，精准保障我县中度以上失能老年人照护服务需求，促进养老服务消费提质扩容，结合我县实际，制定本实施方案。</w:t>
      </w:r>
    </w:p>
    <w:p w14:paraId="276D4C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7" w:lineRule="exact"/>
        <w:ind w:left="0" w:right="0" w:firstLine="640" w:firstLineChars="200"/>
        <w:textAlignment w:val="auto"/>
        <w:rPr>
          <w:rFonts w:hint="eastAsia" w:ascii="黑体" w:hAnsi="黑体" w:eastAsia="黑体" w:cs="黑体"/>
          <w:b w:val="0"/>
          <w:bCs w:val="0"/>
          <w:color w:val="1F2329"/>
          <w:sz w:val="32"/>
          <w:szCs w:val="32"/>
        </w:rPr>
      </w:pPr>
      <w:r>
        <w:rPr>
          <w:rFonts w:hint="eastAsia" w:ascii="黑体" w:hAnsi="黑体" w:eastAsia="黑体" w:cs="黑体"/>
          <w:b w:val="0"/>
          <w:bCs w:val="0"/>
          <w:color w:val="1F2329"/>
          <w:sz w:val="32"/>
          <w:szCs w:val="32"/>
        </w:rPr>
        <w:t>一、总体要求</w:t>
      </w:r>
    </w:p>
    <w:p w14:paraId="424620FA">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全面贯彻党的二十大和二十届历次全会精神，坚持以人民为中心的发展思想，立足我县养老服务发展实际，通过发放养老服务消费补贴，发挥财政资金撬动作用，丰富养老服务供给，优化服务体验，切实解决中度以上失能老年人居家社区养老难题，推动养老服务高质量发展，让老年群体共享改革发展成果。</w:t>
      </w:r>
    </w:p>
    <w:p w14:paraId="6BD6D9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7" w:lineRule="exact"/>
        <w:ind w:left="0" w:right="0" w:firstLine="640" w:firstLineChars="200"/>
        <w:jc w:val="left"/>
        <w:textAlignment w:val="auto"/>
        <w:rPr>
          <w:rFonts w:hint="eastAsia" w:ascii="黑体" w:hAnsi="黑体" w:eastAsia="黑体" w:cs="黑体"/>
          <w:b w:val="0"/>
          <w:bCs w:val="0"/>
          <w:color w:val="1F2329"/>
          <w:sz w:val="32"/>
          <w:szCs w:val="32"/>
          <w:lang w:val="en-US" w:eastAsia="zh-CN"/>
        </w:rPr>
      </w:pPr>
      <w:r>
        <w:rPr>
          <w:rFonts w:hint="eastAsia" w:ascii="黑体" w:hAnsi="黑体" w:eastAsia="黑体" w:cs="黑体"/>
          <w:b w:val="0"/>
          <w:bCs w:val="0"/>
          <w:color w:val="1F2329"/>
          <w:sz w:val="32"/>
          <w:szCs w:val="32"/>
          <w:lang w:val="en-US" w:eastAsia="zh-CN"/>
        </w:rPr>
        <w:t>二、主要内容</w:t>
      </w:r>
    </w:p>
    <w:p w14:paraId="1CF2CDCB">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（一）补贴对象</w:t>
      </w:r>
    </w:p>
    <w:p w14:paraId="04323CD4">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我县行政区域内60周岁及以上，经专业评估确定为中度、重度或完全失能的老年人，不受户籍限制，但享受养老服务的地址须在山丹县行政区域内。</w:t>
      </w:r>
    </w:p>
    <w:p w14:paraId="29F92D34">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以下老年人不纳入补贴范围：正在享受特困人员供养救助待遇、经济困难老年人集中照护服务补助、居家和社区提升行动项目等特定政策待遇的。</w:t>
      </w:r>
    </w:p>
    <w:p w14:paraId="45E4436F">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（二）补贴项目</w:t>
      </w:r>
    </w:p>
    <w:p w14:paraId="021DC19A">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补贴项目涵盖居家养老服务、社区养老服务、机构养老服务三大类：</w:t>
      </w:r>
    </w:p>
    <w:p w14:paraId="0478DE6C">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居家、社区养老服务：包括助餐、助浴、助洁、助行、助急、</w:t>
      </w:r>
      <w:r>
        <w:rPr>
          <w:rFonts w:hint="eastAsia" w:ascii="仿宋_GB2312" w:hAnsi="仿宋_GB2312" w:eastAsia="仿宋_GB2312" w:cs="仿宋_GB2312"/>
          <w:b w:val="0"/>
          <w:bCs w:val="0"/>
          <w:spacing w:val="-6"/>
          <w:sz w:val="32"/>
          <w:szCs w:val="32"/>
          <w:lang w:val="en-US" w:eastAsia="zh-CN"/>
        </w:rPr>
        <w:t>助医服务，以及康复护理、日间托养、探访关爱、健康管理等服务；</w:t>
      </w:r>
    </w:p>
    <w:p w14:paraId="2C323259">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机构养老服务：包括长期服务（入住机构时间30天及以上）和短期“喘息服务”（入</w:t>
      </w:r>
      <w:r>
        <w:rPr>
          <w:rFonts w:hint="eastAsia" w:ascii="仿宋_GB2312" w:hAnsi="仿宋_GB2312" w:eastAsia="仿宋_GB2312" w:cs="仿宋_GB2312"/>
          <w:sz w:val="32"/>
          <w:szCs w:val="32"/>
          <w:lang w:val="en-US" w:eastAsia="zh-CN"/>
        </w:rPr>
        <w:t>住机构时间30天以内）。</w:t>
      </w:r>
    </w:p>
    <w:p w14:paraId="37A6BF9C">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具体服务项目以《甘肃省养老服务补贴项目清单》（附件1）为准，后续根据上级部门要求适时调整。</w:t>
      </w:r>
    </w:p>
    <w:p w14:paraId="7623E8A2">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（三）补贴形式与标准</w:t>
      </w:r>
    </w:p>
    <w:p w14:paraId="3760F7C4">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补贴形式：补贴资金通过“民政通”小程序或APP，以电子消费券形式按自然月发放，老年人可凭消费券抵扣补贴范围内的养老服务个人自付费用。</w:t>
      </w:r>
    </w:p>
    <w:p w14:paraId="34A97FBC">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补贴标准：电子消费券抵扣比例为养老服务消费金额的30%-60%，具体抵扣比例以当月发放的消费券载明内容为准；每月设有最高抵扣额度，后续将根据民政部、财政部要求动态调整。</w:t>
      </w:r>
    </w:p>
    <w:p w14:paraId="18D84A7F">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政策衔接：同时符合长期护理保险（长护险）待遇和本项目补贴条件的老年人，</w:t>
      </w:r>
      <w:r>
        <w:rPr>
          <w:rFonts w:hint="eastAsia" w:ascii="仿宋_GB2312" w:hAnsi="仿宋_GB2312" w:eastAsia="仿宋_GB2312" w:cs="仿宋_GB2312"/>
          <w:sz w:val="32"/>
          <w:szCs w:val="32"/>
          <w:lang w:val="en-US" w:eastAsia="zh-CN"/>
        </w:rPr>
        <w:t>发生的合规费用按“先保险、后补贴”顺序结算，即先由长护险基金按规定支付，剩余个人自付部分再使用本项目消费券按比例抵扣。</w:t>
      </w:r>
    </w:p>
    <w:p w14:paraId="5174DE65">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（四）实施期限</w:t>
      </w:r>
    </w:p>
    <w:p w14:paraId="5A57D3D9">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本项目实施周期为12个自然月，自2026年1月1日起至2026年12月31日止。</w:t>
      </w:r>
    </w:p>
    <w:p w14:paraId="6E1723E8">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三、实施流程</w:t>
      </w:r>
    </w:p>
    <w:p w14:paraId="43133BC2">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（一）申请受理</w:t>
      </w:r>
    </w:p>
    <w:p w14:paraId="08694CB7">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老年人或其代办人（配偶、子女、其他亲属、养老服务机构工作人员等）可通过“民政通”小程序或APP线上注册个人账号，自愿提交补贴申请，并按要求上传相关材料。对于存在应用智能技术困难且家庭成员无法提供有效帮助的老年人，</w:t>
      </w:r>
      <w:r>
        <w:rPr>
          <w:rFonts w:hint="eastAsia" w:ascii="仿宋_GB2312" w:hAnsi="仿宋_GB2312" w:eastAsia="仿宋_GB2312" w:cs="仿宋_GB2312"/>
          <w:sz w:val="32"/>
          <w:szCs w:val="32"/>
          <w:lang w:val="en-US" w:eastAsia="zh-CN"/>
        </w:rPr>
        <w:t>各乡镇（街道）、村（社区）应当提供必要协助。</w:t>
      </w:r>
    </w:p>
    <w:p w14:paraId="164D043E">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（二）能力评估</w:t>
      </w:r>
    </w:p>
    <w:p w14:paraId="5E2743A4">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县民政局委托具备相应资质的第三方专业评估机构，严格依据《老年人能力评估规范》（GB/T42195-2022）组织开展评估。县医保局依据《长期护理失能等级评估标准》等国家标准委托定点机构评估。同时建立部门间数据共享机制，确保相关政策衔接部门的数据对接及互联互通。对12个月内已有的合规评估结果（如长护险评估结果）予以直接采信，避免重复评估，减轻老年人负担。</w:t>
      </w:r>
    </w:p>
    <w:p w14:paraId="17FED619">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评估为中度及以上失能的老年人，评估费用可通过一次性能力评估电子消费券抵扣100元，超出部分由评估机构承担；评估为轻度失能或能力完好的，评估费用由老年人自行承担。符合长护险基金支付范围的评估费用，先由长护险基金按规定支付，剩余个人自付部分可使用本项目消费券抵扣。</w:t>
      </w:r>
    </w:p>
    <w:p w14:paraId="3CF58055">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（三）消费券发放</w:t>
      </w:r>
    </w:p>
    <w:p w14:paraId="0673D4D7">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对经审核符合补贴条件的老年人，县民政局在5个工作日内通过“民政通”发放首月电子消费券（当月提出申请时不足5个工作日的，经审核后自次月起发放）。后续每个自然月的第一天，系统自动向老年人个人账户发放当月消费券。电子消费券当月获得、当月使用，次月自动失效，不予结转。</w:t>
      </w:r>
    </w:p>
    <w:p w14:paraId="67729111">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老年</w:t>
      </w:r>
      <w:r>
        <w:rPr>
          <w:rFonts w:hint="eastAsia" w:ascii="仿宋_GB2312" w:hAnsi="仿宋_GB2312" w:eastAsia="仿宋_GB2312" w:cs="仿宋_GB2312"/>
          <w:sz w:val="32"/>
          <w:szCs w:val="32"/>
          <w:lang w:val="en-US" w:eastAsia="zh-CN"/>
        </w:rPr>
        <w:t>人因身体状况变化等因素不再符合补贴条件的，其本人、代办人以及为老年人提供服务的养老机构、社区养老服务机构应及时通过“民政通”或其他方式告知县民政局，县民政局经确认后，将于次月停发电子消费券。</w:t>
      </w:r>
    </w:p>
    <w:p w14:paraId="00CD8CB6">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（四）使用与核销</w:t>
      </w:r>
    </w:p>
    <w:p w14:paraId="5188AF5C">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中度以上失能老年人进行养老服务消费时，可通过电子消费券抵扣相应金额。服务机</w:t>
      </w:r>
      <w:r>
        <w:rPr>
          <w:rFonts w:hint="eastAsia" w:ascii="仿宋_GB2312" w:hAnsi="仿宋_GB2312" w:eastAsia="仿宋_GB2312" w:cs="仿宋_GB2312"/>
          <w:sz w:val="32"/>
          <w:szCs w:val="32"/>
          <w:lang w:val="en-US" w:eastAsia="zh-CN"/>
        </w:rPr>
        <w:t>构在提供服务后，应及时将服务项目、服务情况、消费金额、收费发票、电子消费券核销凭证等材料上传至“民政通”平台完成核销，确保信息真实、完整、有效。</w:t>
      </w:r>
    </w:p>
    <w:p w14:paraId="11ED15D0">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（五）资金结算</w:t>
      </w:r>
    </w:p>
    <w:p w14:paraId="6EB5DFD3">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民政局于次月10个工作日内，对上一个月养老服务消费券核销情况进行审核，审核通过后提交县财政局复审；县财政局在5个工作日内完成复审，并将结果反馈县民政局。县民政局收到复审结果后，于3个工作日内向相关养老服务机构、社区养老服务机构结算经核定后的上一个月电子消费券抵扣费用。</w:t>
      </w:r>
    </w:p>
    <w:p w14:paraId="599578C5">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四、机构管理要求</w:t>
      </w:r>
    </w:p>
    <w:p w14:paraId="693423F2">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（一）准入条件</w:t>
      </w:r>
    </w:p>
    <w:p w14:paraId="52B1A4F5">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电子消费券适用于自愿参与、信誉良好的养老机构、社区养老服务机构、第三方专业评估机构，正被纳入失信联合惩戒对象主体的不得纳入电子消费券适用机构范围。</w:t>
      </w:r>
    </w:p>
    <w:p w14:paraId="4C1E82CE">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b/>
          <w:bCs/>
          <w:sz w:val="32"/>
          <w:szCs w:val="32"/>
          <w:lang w:val="en-US" w:eastAsia="zh-CN"/>
        </w:rPr>
        <w:t>养老机构：</w:t>
      </w:r>
      <w:r>
        <w:rPr>
          <w:rFonts w:hint="eastAsia" w:ascii="仿宋_GB2312" w:hAnsi="仿宋_GB2312" w:eastAsia="仿宋_GB2312" w:cs="仿宋_GB2312"/>
          <w:sz w:val="32"/>
          <w:szCs w:val="32"/>
          <w:lang w:val="en-US" w:eastAsia="zh-CN"/>
        </w:rPr>
        <w:t>依法办理登记并在民政部门备案，承诺严格执行法律法规及《养老机构服务安全基本规范》（GB38600—2019）</w:t>
      </w:r>
      <w:r>
        <w:rPr>
          <w:rFonts w:hint="eastAsia" w:ascii="仿宋_GB2312" w:hAnsi="仿宋_GB2312" w:eastAsia="仿宋_GB2312" w:cs="仿宋_GB2312"/>
          <w:spacing w:val="-6"/>
          <w:sz w:val="32"/>
          <w:szCs w:val="32"/>
          <w:lang w:val="en-US" w:eastAsia="zh-CN"/>
        </w:rPr>
        <w:t>等强制性标准要求，且具有收住中度及以上失能老年人的服务能力。</w:t>
      </w:r>
    </w:p>
    <w:p w14:paraId="0D64F463">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社区养老服务机构（含具有相应服务能力的家政企业等）：</w:t>
      </w:r>
      <w:r>
        <w:rPr>
          <w:rFonts w:hint="eastAsia" w:ascii="仿宋_GB2312" w:hAnsi="仿宋_GB2312" w:eastAsia="仿宋_GB2312" w:cs="仿宋_GB2312"/>
          <w:sz w:val="32"/>
          <w:szCs w:val="32"/>
          <w:lang w:val="en-US" w:eastAsia="zh-CN"/>
        </w:rPr>
        <w:t>依法办理登记，经营范围或业务范围包括养老服务，且具有为中度及以上失能老年人提供相应服务的能力。</w:t>
      </w:r>
    </w:p>
    <w:p w14:paraId="2FD213E2">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第三方专业评估机构：</w:t>
      </w:r>
      <w:r>
        <w:rPr>
          <w:rFonts w:hint="eastAsia" w:ascii="仿宋_GB2312" w:hAnsi="仿宋_GB2312" w:eastAsia="仿宋_GB2312" w:cs="仿宋_GB2312"/>
          <w:sz w:val="32"/>
          <w:szCs w:val="32"/>
          <w:lang w:val="en-US" w:eastAsia="zh-CN"/>
        </w:rPr>
        <w:t>符合《老年人能力评估规范》关于评估主体的要求，且不能参与提供由本项目补贴的养老服务，确保其评估活动的独立性与公正性。</w:t>
      </w:r>
    </w:p>
    <w:p w14:paraId="23500CB5">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（二）机构责任</w:t>
      </w:r>
    </w:p>
    <w:p w14:paraId="22E5157B">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拟参与项目的机构须在项目启动前完成“民政通”平台实名认证和登记备案，如实发布机构资质、服务项目、收费标准等核心信息，确保信息公开透明。</w:t>
      </w:r>
    </w:p>
    <w:p w14:paraId="5A243EAE">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严格遵守价格管理规定，服务价格不得高于参与本项目前三个月同类服务的实际平均价格，严禁“先涨价后抵扣”；老年人可同时享受机构其他公开优惠活动与本项目补贴。</w:t>
      </w:r>
    </w:p>
    <w:p w14:paraId="62DDCA3D">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jc w:val="both"/>
        <w:textAlignment w:val="auto"/>
        <w:rPr>
          <w:rFonts w:hint="eastAsia" w:ascii="黑体" w:hAnsi="黑体" w:eastAsia="黑体" w:cs="黑体"/>
          <w:kern w:val="2"/>
          <w:sz w:val="32"/>
          <w:szCs w:val="32"/>
          <w:lang w:val="en-US" w:eastAsia="zh-CN" w:bidi="ar-SA"/>
        </w:rPr>
      </w:pPr>
    </w:p>
    <w:p w14:paraId="052571F5">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组织实施准备</w:t>
      </w:r>
    </w:p>
    <w:p w14:paraId="745D4A28">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要做好本县区已有信息管理系统与“民政通”对接工作，通过“民政通”进行项目审核结算、监督管理等。养老机构、社区养老服务机构、第三方专业评估机构使用“民政通”进行服务记录、消费核销、结算申请等。中度以上失能老年人通过“民政通”进行电子消费券领取、服务下单等。为保障项目顺利启动与平稳运行，需在补贴发放前，重点完成以下基础准备工作：</w:t>
      </w:r>
    </w:p>
    <w:p w14:paraId="632F9566">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（一）服务机构与数据准备</w:t>
      </w:r>
    </w:p>
    <w:p w14:paraId="1ED17DE5">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1.机构入驻与信息发布。</w:t>
      </w:r>
      <w:r>
        <w:rPr>
          <w:rFonts w:hint="eastAsia" w:ascii="仿宋_GB2312" w:hAnsi="仿宋_GB2312" w:eastAsia="仿宋_GB2312" w:cs="仿宋_GB2312"/>
          <w:sz w:val="32"/>
          <w:szCs w:val="32"/>
          <w:lang w:val="en-US" w:eastAsia="zh-CN"/>
        </w:rPr>
        <w:t>组织辖区内符合条件的养老机构、社区养老服务机构、家政企业等入驻“民政通”平台，完成资质审核、信息备案和服务项目公示。</w:t>
      </w:r>
    </w:p>
    <w:p w14:paraId="40D36626">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2.存量服务信息补录。</w:t>
      </w:r>
      <w:r>
        <w:rPr>
          <w:rFonts w:hint="eastAsia" w:ascii="仿宋_GB2312" w:hAnsi="仿宋_GB2312" w:eastAsia="仿宋_GB2312" w:cs="仿宋_GB2312"/>
          <w:sz w:val="32"/>
          <w:szCs w:val="32"/>
          <w:lang w:val="en-US" w:eastAsia="zh-CN"/>
        </w:rPr>
        <w:t>指导相关机构梳理项目启动前已入住且符合补贴条件的老年人基本信息与服务关系，及时完成“民政通”平台补录，确保存量服务对象平稳过渡、应享尽享。</w:t>
      </w:r>
    </w:p>
    <w:p w14:paraId="3BF51158">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3.审核入库与动态维护。</w:t>
      </w:r>
      <w:r>
        <w:rPr>
          <w:rFonts w:hint="eastAsia" w:ascii="仿宋_GB2312" w:hAnsi="仿宋_GB2312" w:eastAsia="仿宋_GB2312" w:cs="仿宋_GB2312"/>
          <w:b w:val="0"/>
          <w:bCs w:val="0"/>
          <w:sz w:val="32"/>
          <w:szCs w:val="32"/>
          <w:lang w:val="en-US" w:eastAsia="zh-CN"/>
        </w:rPr>
        <w:t>县民政局负责</w:t>
      </w:r>
      <w:r>
        <w:rPr>
          <w:rFonts w:hint="eastAsia" w:ascii="仿宋_GB2312" w:hAnsi="仿宋_GB2312" w:eastAsia="仿宋_GB2312" w:cs="仿宋_GB2312"/>
          <w:sz w:val="32"/>
          <w:szCs w:val="32"/>
          <w:lang w:val="en-US" w:eastAsia="zh-CN"/>
        </w:rPr>
        <w:t>对申请入驻机构的资质与服务信息进行线上审核，对符合条件的予以入库管理，并建立动态更新机制。</w:t>
      </w:r>
    </w:p>
    <w:p w14:paraId="4F5C46B0">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（二）评估能力与数据准备</w:t>
      </w:r>
    </w:p>
    <w:p w14:paraId="74A75093">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1.历史评估数据对接。</w:t>
      </w:r>
      <w:r>
        <w:rPr>
          <w:rFonts w:hint="eastAsia" w:ascii="仿宋_GB2312" w:hAnsi="仿宋_GB2312" w:eastAsia="仿宋_GB2312" w:cs="仿宋_GB2312"/>
          <w:sz w:val="32"/>
          <w:szCs w:val="32"/>
          <w:lang w:val="en-US" w:eastAsia="zh-CN"/>
        </w:rPr>
        <w:t>配合省级民政部门完成历史评估数据归集与交换，将本方案印发前已产生的合规中度以上失能老年人评估结果数据同步至“民政通”平台，实现数据共享。</w:t>
      </w:r>
    </w:p>
    <w:p w14:paraId="438BD2D7">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2.评估员队伍组建。</w:t>
      </w:r>
      <w:r>
        <w:rPr>
          <w:rFonts w:hint="eastAsia" w:ascii="仿宋_GB2312" w:hAnsi="仿宋_GB2312" w:eastAsia="仿宋_GB2312" w:cs="仿宋_GB2312"/>
          <w:sz w:val="32"/>
          <w:szCs w:val="32"/>
          <w:lang w:val="en-US" w:eastAsia="zh-CN"/>
        </w:rPr>
        <w:t>积极协调县卫生健康局，推动符合条件的家庭医生参与评估工作，充分发挥其专业优势。同时允许面向第三方专业评估机构购买服务。</w:t>
      </w:r>
    </w:p>
    <w:p w14:paraId="4F07A38E">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六、职责分工</w:t>
      </w:r>
    </w:p>
    <w:p w14:paraId="7F11D692">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（一）县民政局</w:t>
      </w:r>
    </w:p>
    <w:p w14:paraId="36E07723">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县民政局负责委托监管评估机构、审核补贴对象资格、管理服务机构清单，并每日处置平台预警、审核消费券核销及提出结算建议，同时督促机构开展服务质量自查。</w:t>
      </w:r>
    </w:p>
    <w:p w14:paraId="18A4AF97">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（二）县财政局</w:t>
      </w:r>
    </w:p>
    <w:p w14:paraId="6475C5B7">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负责补贴资金筹集保障，确保中央与地方配套资金及时足额到位；配合县民政局开展资金使用全过程预算绩效管理和监督；及时完成资金复审与拨付，确保资金安全、规范、高效使用。</w:t>
      </w:r>
    </w:p>
    <w:p w14:paraId="1423A26E">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（三）县商务局</w:t>
      </w:r>
    </w:p>
    <w:p w14:paraId="368AF77C">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引导和规范家政等生活性服务机构参与居家养老服务，丰富服务供给渠道，提升服务专业化、标准化水平。</w:t>
      </w:r>
    </w:p>
    <w:p w14:paraId="38E4ED9D">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（四）县卫生健康局</w:t>
      </w:r>
    </w:p>
    <w:p w14:paraId="4750F3BE">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提供老年人健康管理相关数据支持；推动医疗机构与养老服务机构合作，加强对养老机构内设医疗机构或与医疗机构签约合作的业务指导；协助推动老年人能力评估结果在医养结合服务中的参考与应用。</w:t>
      </w:r>
    </w:p>
    <w:p w14:paraId="47C5AAD9">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（五）县医保局</w:t>
      </w:r>
    </w:p>
    <w:p w14:paraId="6D7A7C33">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做好长期护理保险（长护险）与本项目的政策衔接，实现政策互补。</w:t>
      </w:r>
    </w:p>
    <w:p w14:paraId="1821CC42">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（六）县市场监督管理局</w:t>
      </w:r>
    </w:p>
    <w:p w14:paraId="03AEE0F9">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负责养老服务市场秩序监管，依法查处不明码标价、价格欺诈、不执行政府定价等违法违规行为；加强服务机构食品安全和特种设备安全监督检查；规范广告宣传行为，维护公平诚信的市场环境。</w:t>
      </w:r>
    </w:p>
    <w:p w14:paraId="33DAFF86">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（七）各乡镇、村（社区）</w:t>
      </w:r>
    </w:p>
    <w:p w14:paraId="56EB047D">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负责在本辖区内摸排潜在服务对象、开展政策宣传解释、为有需求的老年人家庭提供线下申请协助、收集反馈意见建议。</w:t>
      </w:r>
    </w:p>
    <w:p w14:paraId="4A79B2C2">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保障措施</w:t>
      </w:r>
    </w:p>
    <w:p w14:paraId="0F79F27E">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（一）加强组织领导</w:t>
      </w:r>
    </w:p>
    <w:p w14:paraId="62C3E284">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县级统筹、部门协同、乡镇落实、机构执行、专项监督”的工作机制，协调解决项目实施中的难点问题。各相关部门、各乡镇（街道）要明确分管领导和具体工作人员，细化工作举措，确保各项任务落地见效。</w:t>
      </w:r>
    </w:p>
    <w:p w14:paraId="386855E8">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（二）强化宣传引导</w:t>
      </w:r>
    </w:p>
    <w:p w14:paraId="6CE99479">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1.构建宣传矩阵，实现精准覆盖。</w:t>
      </w:r>
      <w:r>
        <w:rPr>
          <w:rFonts w:hint="eastAsia" w:ascii="仿宋_GB2312" w:hAnsi="仿宋_GB2312" w:eastAsia="仿宋_GB2312" w:cs="仿宋_GB2312"/>
          <w:sz w:val="32"/>
          <w:szCs w:val="32"/>
          <w:lang w:val="en-US" w:eastAsia="zh-CN"/>
        </w:rPr>
        <w:t>乡镇（街道）、村（社区）要在乡镇（街道）便民服务中心、养老服务机构、社区卫生服务中心等老年人常活动的场所，张贴海报、发放折页。充分考虑老年人阅读特点，采用大字号、简洁版面、高对比度色彩印刷，确保易读易懂。聚焦老年人及其家庭最关心的“谁能补”“补多少”“怎么申请”等核心问题，多采用案例式、图解式解读。组织社区网格员、志愿者等服务力量，对辖区内存在潜在需求的老年人家庭进行“点对点”上门宣讲或电话通知，变“人找政策”为“政策找人”，确保重点人群宣传无死角。</w:t>
      </w:r>
    </w:p>
    <w:p w14:paraId="72AABD94">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2.创新宣传方式，提升解读实效。</w:t>
      </w:r>
      <w:r>
        <w:rPr>
          <w:rFonts w:hint="eastAsia" w:ascii="仿宋_GB2312" w:hAnsi="仿宋_GB2312" w:eastAsia="仿宋_GB2312" w:cs="仿宋_GB2312"/>
          <w:sz w:val="32"/>
          <w:szCs w:val="32"/>
          <w:lang w:val="en-US" w:eastAsia="zh-CN"/>
        </w:rPr>
        <w:t>通过政府官网、政务新媒体、本地媒体等渠道，针对老年人及其子女的不同信息获取习惯，通过图文解说、短视频、音频广播等不同形式的宣传产品，讲解补贴标准、申请流程和核销方法。利用关键时间节点，在社区、养老机构等场所组织开展政策咨询会、养老大集等线下活动，面对面为老年人及其家属答疑解惑。对高龄、独居等特殊群体开展</w:t>
      </w:r>
      <w:r>
        <w:rPr>
          <w:rFonts w:hint="eastAsia" w:ascii="仿宋_GB2312" w:hAnsi="仿宋_GB2312" w:eastAsia="仿宋_GB2312" w:cs="仿宋_GB2312"/>
          <w:spacing w:val="-6"/>
          <w:sz w:val="32"/>
          <w:szCs w:val="32"/>
          <w:lang w:val="en-US" w:eastAsia="zh-CN"/>
        </w:rPr>
        <w:t>上门宣讲，变“人找政策”为“政策找人”，确保政策宣传无死角。</w:t>
      </w:r>
    </w:p>
    <w:p w14:paraId="40375F74">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3.营造浓厚氛围，优化营商环境</w:t>
      </w:r>
      <w:r>
        <w:rPr>
          <w:rFonts w:hint="eastAsia" w:ascii="仿宋_GB2312" w:hAnsi="仿宋_GB2312" w:eastAsia="仿宋_GB2312" w:cs="仿宋_GB2312"/>
          <w:sz w:val="32"/>
          <w:szCs w:val="32"/>
          <w:lang w:val="en-US" w:eastAsia="zh-CN"/>
        </w:rPr>
        <w:t>。动员组织各类养老服务经</w:t>
      </w:r>
    </w:p>
    <w:p w14:paraId="4CA49307">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营主体积极参与，创新消费场景,释放消费潜力。明确并公布养老机构的政策咨询渠道，确保专人负责、及时回应社会关切，不断提升宣传工作的精准性和有效性，确保政策红利真正转化为老年人的获得感。</w:t>
      </w:r>
    </w:p>
    <w:p w14:paraId="6E17A048">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（三）严格监督管理</w:t>
      </w:r>
    </w:p>
    <w:p w14:paraId="49087F30">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1.强化资金监管。</w:t>
      </w:r>
      <w:r>
        <w:rPr>
          <w:rFonts w:hint="eastAsia" w:ascii="仿宋_GB2312" w:hAnsi="仿宋_GB2312" w:eastAsia="仿宋_GB2312" w:cs="仿宋_GB2312"/>
          <w:sz w:val="32"/>
          <w:szCs w:val="32"/>
          <w:lang w:val="en-US" w:eastAsia="zh-CN"/>
        </w:rPr>
        <w:t>及时核实处理“民政通”系统反馈的异常交易预警，坚决防范虚假交易、骗补套补等行为。扎实开展绩效运行监控和绩效评价，加强绩效结果应用，确保资金使用效益。对利用职务之便虚报冒领、贪污侵占、截留挪用补贴资金和骗取、套取补贴资金的个人及机构，坚决依法依规处理，涉嫌犯罪的依法移送司法机关。</w:t>
      </w:r>
    </w:p>
    <w:p w14:paraId="5EFEA83B">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2.强化机构与评估监管。</w:t>
      </w:r>
      <w:r>
        <w:rPr>
          <w:rFonts w:hint="eastAsia" w:ascii="仿宋_GB2312" w:hAnsi="仿宋_GB2312" w:eastAsia="仿宋_GB2312" w:cs="仿宋_GB2312"/>
          <w:sz w:val="32"/>
          <w:szCs w:val="32"/>
          <w:lang w:val="en-US" w:eastAsia="zh-CN"/>
        </w:rPr>
        <w:t>参与项目的机构必须主动签署诚信承诺书（见附件2），自觉接受信用监管和违规处置。对发现“先涨价后抵扣”、虚假服务、服务质量差、老年人满意度低的机构，及时取消其参与资格并追缴资金、按规定进行信用监管。县民政局要按照不低于1%比例开展评估质量抽查，可委托独立第三方或开展交叉互查。对评估行为不规范、结果不真实的机构，依法依规处理。</w:t>
      </w:r>
    </w:p>
    <w:p w14:paraId="0807ABFC">
      <w:pPr>
        <w:keepNext w:val="0"/>
        <w:keepLines w:val="0"/>
        <w:pageBreakBefore w:val="0"/>
        <w:widowControl w:val="0"/>
        <w:kinsoku/>
        <w:wordWrap/>
        <w:overflowPunct/>
        <w:topLinePunct w:val="0"/>
        <w:autoSpaceDE/>
        <w:autoSpaceDN/>
        <w:bidi w:val="0"/>
        <w:adjustRightInd/>
        <w:snapToGrid/>
        <w:spacing w:line="587"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3.强化服务与信息监管。</w:t>
      </w:r>
      <w:r>
        <w:rPr>
          <w:rFonts w:hint="eastAsia" w:ascii="仿宋_GB2312" w:hAnsi="仿宋_GB2312" w:eastAsia="仿宋_GB2312" w:cs="仿宋_GB2312"/>
          <w:sz w:val="32"/>
          <w:szCs w:val="32"/>
          <w:lang w:val="en-US" w:eastAsia="zh-CN"/>
        </w:rPr>
        <w:t>通过线上核查、实地抽查、满意度调查等方式，按比例开展服务质量检查。充分利用信息技术手段，全流程、多角度记录服务过程，提高监管效能。落实信息安全责任，依托“民政通”系统动态监测项目信息变化，对异常数据进行处置。</w:t>
      </w:r>
    </w:p>
    <w:p w14:paraId="0FF267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215145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25B240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附件：1.甘肃省养老服务消费补贴项目清单</w:t>
      </w:r>
    </w:p>
    <w:p w14:paraId="5B9DCA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诚信承诺书（参考模板）</w:t>
      </w:r>
    </w:p>
    <w:p w14:paraId="3FC3D33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28F5084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5FA40DB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0EA668F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1C6751C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34FB76E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348CD5FD">
      <w:pPr>
        <w:pStyle w:val="8"/>
        <w:widowControl w:val="0"/>
        <w:numPr>
          <w:ilvl w:val="0"/>
          <w:numId w:val="0"/>
        </w:numPr>
        <w:jc w:val="both"/>
        <w:rPr>
          <w:rFonts w:hint="eastAsia" w:ascii="黑体" w:hAnsi="宋体" w:eastAsia="黑体" w:cs="黑体"/>
          <w:b w:val="0"/>
          <w:bCs w:val="0"/>
          <w:color w:val="000000"/>
          <w:sz w:val="30"/>
          <w:szCs w:val="30"/>
          <w:lang w:val="en-US" w:eastAsia="zh-CN"/>
        </w:rPr>
      </w:pPr>
      <w:bookmarkStart w:id="0" w:name="_GoBack"/>
      <w:bookmarkEnd w:id="0"/>
      <w:r>
        <w:rPr>
          <w:rFonts w:ascii="黑体" w:hAnsi="宋体" w:eastAsia="黑体" w:cs="黑体"/>
          <w:b w:val="0"/>
          <w:bCs w:val="0"/>
          <w:color w:val="000000"/>
          <w:sz w:val="30"/>
          <w:szCs w:val="30"/>
        </w:rPr>
        <w:t>附件</w:t>
      </w:r>
      <w:r>
        <w:rPr>
          <w:rFonts w:hint="eastAsia" w:ascii="黑体" w:hAnsi="宋体" w:eastAsia="黑体" w:cs="黑体"/>
          <w:b w:val="0"/>
          <w:bCs w:val="0"/>
          <w:color w:val="000000"/>
          <w:sz w:val="30"/>
          <w:szCs w:val="30"/>
          <w:lang w:val="en-US" w:eastAsia="zh-CN"/>
        </w:rPr>
        <w:t>1</w:t>
      </w:r>
    </w:p>
    <w:p w14:paraId="7B537EEC">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rPr>
        <w:t>甘肃省养老服务补贴项目清单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259"/>
        <w:gridCol w:w="1093"/>
        <w:gridCol w:w="4699"/>
        <w:gridCol w:w="1308"/>
      </w:tblGrid>
      <w:tr w14:paraId="75B4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5" w:type="dxa"/>
            <w:vAlign w:val="center"/>
          </w:tcPr>
          <w:p w14:paraId="592B5207">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color w:val="000000"/>
                <w:sz w:val="40"/>
                <w:szCs w:val="40"/>
                <w:vertAlign w:val="baseline"/>
                <w:lang w:val="en-US" w:eastAsia="zh-CN"/>
              </w:rPr>
            </w:pPr>
            <w:r>
              <w:rPr>
                <w:rFonts w:hint="eastAsia" w:ascii="宋体" w:hAnsi="宋体" w:eastAsia="宋体" w:cs="宋体"/>
                <w:b/>
                <w:bCs/>
                <w:color w:val="000000"/>
                <w:sz w:val="24"/>
                <w:szCs w:val="24"/>
              </w:rPr>
              <w:t>序号</w:t>
            </w:r>
          </w:p>
        </w:tc>
        <w:tc>
          <w:tcPr>
            <w:tcW w:w="1266" w:type="dxa"/>
            <w:vAlign w:val="center"/>
          </w:tcPr>
          <w:p w14:paraId="57134E1C">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color w:val="000000"/>
                <w:sz w:val="40"/>
                <w:szCs w:val="40"/>
                <w:vertAlign w:val="baseline"/>
                <w:lang w:val="en-US" w:eastAsia="zh-CN"/>
              </w:rPr>
            </w:pPr>
            <w:r>
              <w:rPr>
                <w:rFonts w:hint="eastAsia" w:ascii="宋体" w:hAnsi="宋体" w:eastAsia="宋体" w:cs="宋体"/>
                <w:b/>
                <w:bCs/>
                <w:color w:val="000000"/>
                <w:sz w:val="24"/>
                <w:szCs w:val="24"/>
              </w:rPr>
              <w:t>类别</w:t>
            </w:r>
          </w:p>
        </w:tc>
        <w:tc>
          <w:tcPr>
            <w:tcW w:w="1100" w:type="dxa"/>
            <w:vAlign w:val="center"/>
          </w:tcPr>
          <w:p w14:paraId="1BC96C21">
            <w:pPr>
              <w:pStyle w:val="8"/>
              <w:keepNext w:val="0"/>
              <w:keepLines/>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项目</w:t>
            </w:r>
          </w:p>
          <w:p w14:paraId="687B8FED">
            <w:pPr>
              <w:pStyle w:val="8"/>
              <w:keepNext w:val="0"/>
              <w:keepLines/>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sz w:val="40"/>
                <w:szCs w:val="40"/>
                <w:vertAlign w:val="baseline"/>
                <w:lang w:val="en-US" w:eastAsia="zh-CN"/>
              </w:rPr>
            </w:pPr>
            <w:r>
              <w:rPr>
                <w:rFonts w:hint="eastAsia" w:ascii="宋体" w:hAnsi="宋体" w:eastAsia="宋体" w:cs="宋体"/>
                <w:b/>
                <w:bCs/>
                <w:color w:val="000000"/>
                <w:sz w:val="24"/>
                <w:szCs w:val="24"/>
              </w:rPr>
              <w:t>名称</w:t>
            </w:r>
          </w:p>
        </w:tc>
        <w:tc>
          <w:tcPr>
            <w:tcW w:w="4734" w:type="dxa"/>
            <w:vAlign w:val="center"/>
          </w:tcPr>
          <w:p w14:paraId="590A9545">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color w:val="000000"/>
                <w:sz w:val="40"/>
                <w:szCs w:val="40"/>
                <w:vertAlign w:val="baseline"/>
                <w:lang w:val="en-US" w:eastAsia="zh-CN"/>
              </w:rPr>
            </w:pPr>
            <w:r>
              <w:rPr>
                <w:rFonts w:hint="eastAsia" w:ascii="宋体" w:hAnsi="宋体" w:eastAsia="宋体" w:cs="宋体"/>
                <w:b/>
                <w:bCs/>
                <w:color w:val="000000"/>
                <w:sz w:val="24"/>
                <w:szCs w:val="24"/>
              </w:rPr>
              <w:t>服务内容</w:t>
            </w:r>
          </w:p>
        </w:tc>
        <w:tc>
          <w:tcPr>
            <w:tcW w:w="1312" w:type="dxa"/>
            <w:vAlign w:val="center"/>
          </w:tcPr>
          <w:p w14:paraId="4D52FCEB">
            <w:pPr>
              <w:pStyle w:val="8"/>
              <w:keepNext w:val="0"/>
              <w:keepLines/>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服务参考 </w:t>
            </w:r>
          </w:p>
          <w:p w14:paraId="1DA18E17">
            <w:pPr>
              <w:pStyle w:val="8"/>
              <w:keepNext w:val="0"/>
              <w:keepLines/>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时长（次）</w:t>
            </w:r>
          </w:p>
        </w:tc>
      </w:tr>
      <w:tr w14:paraId="3EA1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5" w:type="dxa"/>
            <w:vAlign w:val="center"/>
          </w:tcPr>
          <w:p w14:paraId="3831D1EE">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1</w:t>
            </w:r>
          </w:p>
        </w:tc>
        <w:tc>
          <w:tcPr>
            <w:tcW w:w="1266" w:type="dxa"/>
            <w:vAlign w:val="center"/>
          </w:tcPr>
          <w:p w14:paraId="2DB0815F">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评估服务</w:t>
            </w:r>
          </w:p>
        </w:tc>
        <w:tc>
          <w:tcPr>
            <w:tcW w:w="1100" w:type="dxa"/>
            <w:vAlign w:val="center"/>
          </w:tcPr>
          <w:p w14:paraId="244070A8">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失能等级</w:t>
            </w:r>
          </w:p>
          <w:p w14:paraId="62AE0418">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评估</w:t>
            </w:r>
          </w:p>
        </w:tc>
        <w:tc>
          <w:tcPr>
            <w:tcW w:w="4734" w:type="dxa"/>
            <w:vAlign w:val="center"/>
          </w:tcPr>
          <w:p w14:paraId="0DE9F7F6">
            <w:pPr>
              <w:pStyle w:val="8"/>
              <w:keepNext w:val="0"/>
              <w:keepLines/>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按照《老年人能力评估规范》（GB/T 42195-2022 ）国家标准为老年人开展能力评估服务</w:t>
            </w:r>
            <w:r>
              <w:rPr>
                <w:rFonts w:hint="eastAsia" w:ascii="宋体" w:hAnsi="宋体" w:eastAsia="宋体" w:cs="宋体"/>
                <w:b w:val="0"/>
                <w:bCs w:val="0"/>
                <w:color w:val="000000"/>
                <w:sz w:val="21"/>
                <w:szCs w:val="21"/>
                <w:lang w:eastAsia="zh-CN"/>
              </w:rPr>
              <w:t>。</w:t>
            </w:r>
          </w:p>
        </w:tc>
        <w:tc>
          <w:tcPr>
            <w:tcW w:w="1312" w:type="dxa"/>
            <w:vAlign w:val="center"/>
          </w:tcPr>
          <w:p w14:paraId="6A4E6411">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20-60</w:t>
            </w:r>
          </w:p>
          <w:p w14:paraId="03745E48">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分钟</w:t>
            </w:r>
          </w:p>
        </w:tc>
      </w:tr>
      <w:tr w14:paraId="547B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05" w:type="dxa"/>
            <w:vAlign w:val="center"/>
          </w:tcPr>
          <w:p w14:paraId="72B99514">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2</w:t>
            </w:r>
          </w:p>
        </w:tc>
        <w:tc>
          <w:tcPr>
            <w:tcW w:w="1266" w:type="dxa"/>
            <w:vAlign w:val="center"/>
          </w:tcPr>
          <w:p w14:paraId="753836CF">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机构服务</w:t>
            </w:r>
          </w:p>
        </w:tc>
        <w:tc>
          <w:tcPr>
            <w:tcW w:w="1100" w:type="dxa"/>
            <w:vAlign w:val="center"/>
          </w:tcPr>
          <w:p w14:paraId="7EB2C39E">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长期服务</w:t>
            </w:r>
          </w:p>
        </w:tc>
        <w:tc>
          <w:tcPr>
            <w:tcW w:w="4734" w:type="dxa"/>
            <w:vAlign w:val="center"/>
          </w:tcPr>
          <w:p w14:paraId="2599A287">
            <w:pPr>
              <w:pStyle w:val="8"/>
              <w:keepNext w:val="0"/>
              <w:keepLines/>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为老年人提供长期全日集中住宿和照料护理服务</w:t>
            </w:r>
          </w:p>
        </w:tc>
        <w:tc>
          <w:tcPr>
            <w:tcW w:w="1312" w:type="dxa"/>
            <w:vAlign w:val="center"/>
          </w:tcPr>
          <w:p w14:paraId="5F3CF943">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30天及以上</w:t>
            </w:r>
          </w:p>
        </w:tc>
      </w:tr>
      <w:tr w14:paraId="08FB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5" w:type="dxa"/>
            <w:vAlign w:val="center"/>
          </w:tcPr>
          <w:p w14:paraId="6E20F608">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3</w:t>
            </w:r>
          </w:p>
        </w:tc>
        <w:tc>
          <w:tcPr>
            <w:tcW w:w="1266" w:type="dxa"/>
            <w:vAlign w:val="center"/>
          </w:tcPr>
          <w:p w14:paraId="5F634E28">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机构、社区服务</w:t>
            </w:r>
          </w:p>
        </w:tc>
        <w:tc>
          <w:tcPr>
            <w:tcW w:w="1100" w:type="dxa"/>
            <w:vAlign w:val="center"/>
          </w:tcPr>
          <w:p w14:paraId="240267B9">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喘息服务</w:t>
            </w:r>
          </w:p>
        </w:tc>
        <w:tc>
          <w:tcPr>
            <w:tcW w:w="4734" w:type="dxa"/>
            <w:vAlign w:val="center"/>
          </w:tcPr>
          <w:p w14:paraId="1E9B5480">
            <w:pPr>
              <w:pStyle w:val="8"/>
              <w:keepNext w:val="0"/>
              <w:keepLines/>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为老年人提供短期全日制集中住宿和照料护理</w:t>
            </w:r>
            <w:r>
              <w:rPr>
                <w:rFonts w:hint="eastAsia" w:ascii="宋体" w:hAnsi="宋体" w:eastAsia="宋体" w:cs="宋体"/>
                <w:b w:val="0"/>
                <w:bCs w:val="0"/>
                <w:color w:val="000000"/>
                <w:sz w:val="21"/>
                <w:szCs w:val="21"/>
                <w:lang w:eastAsia="zh-CN"/>
              </w:rPr>
              <w:t>服</w:t>
            </w:r>
            <w:r>
              <w:rPr>
                <w:rFonts w:hint="eastAsia" w:ascii="宋体" w:hAnsi="宋体" w:eastAsia="宋体" w:cs="宋体"/>
                <w:b w:val="0"/>
                <w:bCs w:val="0"/>
                <w:color w:val="000000"/>
                <w:sz w:val="21"/>
                <w:szCs w:val="21"/>
              </w:rPr>
              <w:t>务</w:t>
            </w:r>
          </w:p>
        </w:tc>
        <w:tc>
          <w:tcPr>
            <w:tcW w:w="1312" w:type="dxa"/>
            <w:vAlign w:val="center"/>
          </w:tcPr>
          <w:p w14:paraId="26F7948C">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30天以内</w:t>
            </w:r>
          </w:p>
        </w:tc>
      </w:tr>
      <w:tr w14:paraId="4CAF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5" w:type="dxa"/>
            <w:vAlign w:val="center"/>
          </w:tcPr>
          <w:p w14:paraId="10AAEED4">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4</w:t>
            </w:r>
          </w:p>
        </w:tc>
        <w:tc>
          <w:tcPr>
            <w:tcW w:w="1266" w:type="dxa"/>
            <w:vAlign w:val="center"/>
          </w:tcPr>
          <w:p w14:paraId="2B27AF76">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机构、社区服务</w:t>
            </w:r>
          </w:p>
        </w:tc>
        <w:tc>
          <w:tcPr>
            <w:tcW w:w="1100" w:type="dxa"/>
            <w:vAlign w:val="center"/>
          </w:tcPr>
          <w:p w14:paraId="7C732F4D">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日间托养</w:t>
            </w:r>
          </w:p>
        </w:tc>
        <w:tc>
          <w:tcPr>
            <w:tcW w:w="4734" w:type="dxa"/>
            <w:vAlign w:val="center"/>
          </w:tcPr>
          <w:p w14:paraId="505B3768">
            <w:pPr>
              <w:pStyle w:val="8"/>
              <w:keepNext w:val="0"/>
              <w:keepLines/>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为老年人提供短期日间照料护理服务</w:t>
            </w:r>
          </w:p>
        </w:tc>
        <w:tc>
          <w:tcPr>
            <w:tcW w:w="1312" w:type="dxa"/>
            <w:vAlign w:val="center"/>
          </w:tcPr>
          <w:p w14:paraId="7C8E2E9E">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1</w:t>
            </w:r>
            <w:r>
              <w:rPr>
                <w:rFonts w:hint="eastAsia" w:ascii="宋体" w:hAnsi="宋体" w:eastAsia="宋体" w:cs="宋体"/>
                <w:b w:val="0"/>
                <w:bCs w:val="0"/>
                <w:color w:val="000000"/>
                <w:sz w:val="21"/>
                <w:szCs w:val="21"/>
              </w:rPr>
              <w:t>个月或按</w:t>
            </w:r>
          </w:p>
          <w:p w14:paraId="49E87FBF">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天计算</w:t>
            </w:r>
          </w:p>
        </w:tc>
      </w:tr>
      <w:tr w14:paraId="2102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5" w:type="dxa"/>
            <w:vAlign w:val="center"/>
          </w:tcPr>
          <w:p w14:paraId="5E7CA3BD">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5</w:t>
            </w:r>
          </w:p>
        </w:tc>
        <w:tc>
          <w:tcPr>
            <w:tcW w:w="1266" w:type="dxa"/>
            <w:vAlign w:val="center"/>
          </w:tcPr>
          <w:p w14:paraId="0DE56C97">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聘用服务</w:t>
            </w:r>
          </w:p>
        </w:tc>
        <w:tc>
          <w:tcPr>
            <w:tcW w:w="1100" w:type="dxa"/>
            <w:vAlign w:val="center"/>
          </w:tcPr>
          <w:p w14:paraId="5FFF09BE">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聘用养老</w:t>
            </w:r>
          </w:p>
          <w:p w14:paraId="7925C51F">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护理员</w:t>
            </w:r>
          </w:p>
        </w:tc>
        <w:tc>
          <w:tcPr>
            <w:tcW w:w="4734" w:type="dxa"/>
            <w:vAlign w:val="center"/>
          </w:tcPr>
          <w:p w14:paraId="09C38DFD">
            <w:pPr>
              <w:pStyle w:val="8"/>
              <w:keepNext w:val="0"/>
              <w:keepLines/>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全职或兼职为老年人提供专业养老服务</w:t>
            </w:r>
          </w:p>
        </w:tc>
        <w:tc>
          <w:tcPr>
            <w:tcW w:w="1312" w:type="dxa"/>
            <w:vAlign w:val="center"/>
          </w:tcPr>
          <w:p w14:paraId="56F65FB0">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1</w:t>
            </w:r>
            <w:r>
              <w:rPr>
                <w:rFonts w:hint="eastAsia" w:ascii="宋体" w:hAnsi="宋体" w:eastAsia="宋体" w:cs="宋体"/>
                <w:b w:val="0"/>
                <w:bCs w:val="0"/>
                <w:color w:val="000000"/>
                <w:sz w:val="21"/>
                <w:szCs w:val="21"/>
              </w:rPr>
              <w:t>个月或按</w:t>
            </w:r>
          </w:p>
          <w:p w14:paraId="389AACEC">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天计算</w:t>
            </w:r>
          </w:p>
        </w:tc>
      </w:tr>
      <w:tr w14:paraId="5FEF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5" w:type="dxa"/>
            <w:vAlign w:val="center"/>
          </w:tcPr>
          <w:p w14:paraId="3DA72644">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6</w:t>
            </w:r>
          </w:p>
        </w:tc>
        <w:tc>
          <w:tcPr>
            <w:tcW w:w="1266" w:type="dxa"/>
            <w:vAlign w:val="center"/>
          </w:tcPr>
          <w:p w14:paraId="4FADB9F1">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个性化服务</w:t>
            </w:r>
          </w:p>
        </w:tc>
        <w:tc>
          <w:tcPr>
            <w:tcW w:w="1100" w:type="dxa"/>
            <w:vAlign w:val="center"/>
          </w:tcPr>
          <w:p w14:paraId="16CA199C">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服务包</w:t>
            </w:r>
          </w:p>
        </w:tc>
        <w:tc>
          <w:tcPr>
            <w:tcW w:w="4734" w:type="dxa"/>
            <w:vAlign w:val="center"/>
          </w:tcPr>
          <w:p w14:paraId="613F067B">
            <w:pPr>
              <w:pStyle w:val="8"/>
              <w:keepNext w:val="0"/>
              <w:keepLines/>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根据老年人需求情况提供包括“六助”、基础照护服务等在内的打包式服务</w:t>
            </w:r>
          </w:p>
        </w:tc>
        <w:tc>
          <w:tcPr>
            <w:tcW w:w="1312" w:type="dxa"/>
            <w:vAlign w:val="center"/>
          </w:tcPr>
          <w:p w14:paraId="3642A4C9">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根据实际</w:t>
            </w:r>
          </w:p>
          <w:p w14:paraId="79DE8681">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情况而定</w:t>
            </w:r>
          </w:p>
        </w:tc>
      </w:tr>
      <w:tr w14:paraId="6347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05" w:type="dxa"/>
            <w:vAlign w:val="center"/>
          </w:tcPr>
          <w:p w14:paraId="664230C2">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7</w:t>
            </w:r>
          </w:p>
        </w:tc>
        <w:tc>
          <w:tcPr>
            <w:tcW w:w="1266" w:type="dxa"/>
            <w:vMerge w:val="restart"/>
            <w:vAlign w:val="center"/>
          </w:tcPr>
          <w:p w14:paraId="596626D7">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生活照料 服务</w:t>
            </w:r>
          </w:p>
        </w:tc>
        <w:tc>
          <w:tcPr>
            <w:tcW w:w="1100" w:type="dxa"/>
            <w:vAlign w:val="center"/>
          </w:tcPr>
          <w:p w14:paraId="243A3927">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助餐</w:t>
            </w:r>
          </w:p>
        </w:tc>
        <w:tc>
          <w:tcPr>
            <w:tcW w:w="4734" w:type="dxa"/>
            <w:vAlign w:val="center"/>
          </w:tcPr>
          <w:p w14:paraId="280B77E4">
            <w:pPr>
              <w:pStyle w:val="8"/>
              <w:keepNext w:val="0"/>
              <w:keepLines/>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上门送餐、鼻饲服务等</w:t>
            </w:r>
          </w:p>
        </w:tc>
        <w:tc>
          <w:tcPr>
            <w:tcW w:w="1312" w:type="dxa"/>
            <w:vAlign w:val="center"/>
          </w:tcPr>
          <w:p w14:paraId="3B22683F">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10-30分钟</w:t>
            </w:r>
          </w:p>
        </w:tc>
      </w:tr>
      <w:tr w14:paraId="5D44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05" w:type="dxa"/>
            <w:vAlign w:val="center"/>
          </w:tcPr>
          <w:p w14:paraId="1C541B20">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8</w:t>
            </w:r>
          </w:p>
        </w:tc>
        <w:tc>
          <w:tcPr>
            <w:tcW w:w="1266" w:type="dxa"/>
            <w:vMerge w:val="continue"/>
            <w:vAlign w:val="center"/>
          </w:tcPr>
          <w:p w14:paraId="4711D446">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p>
        </w:tc>
        <w:tc>
          <w:tcPr>
            <w:tcW w:w="1100" w:type="dxa"/>
            <w:vAlign w:val="center"/>
          </w:tcPr>
          <w:p w14:paraId="2B9581A6">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助浴</w:t>
            </w:r>
          </w:p>
        </w:tc>
        <w:tc>
          <w:tcPr>
            <w:tcW w:w="4734" w:type="dxa"/>
            <w:vAlign w:val="center"/>
          </w:tcPr>
          <w:p w14:paraId="61359590">
            <w:pPr>
              <w:pStyle w:val="8"/>
              <w:keepNext w:val="0"/>
              <w:keepLines/>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上门擦浴、洗浴，门店助浴等</w:t>
            </w:r>
          </w:p>
        </w:tc>
        <w:tc>
          <w:tcPr>
            <w:tcW w:w="1312" w:type="dxa"/>
            <w:vAlign w:val="center"/>
          </w:tcPr>
          <w:p w14:paraId="456E547F">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20-60分钟</w:t>
            </w:r>
          </w:p>
        </w:tc>
      </w:tr>
      <w:tr w14:paraId="57CB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05" w:type="dxa"/>
            <w:vAlign w:val="center"/>
          </w:tcPr>
          <w:p w14:paraId="58E3303A">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9</w:t>
            </w:r>
          </w:p>
        </w:tc>
        <w:tc>
          <w:tcPr>
            <w:tcW w:w="1266" w:type="dxa"/>
            <w:vMerge w:val="continue"/>
            <w:vAlign w:val="center"/>
          </w:tcPr>
          <w:p w14:paraId="1E919DCE">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p>
        </w:tc>
        <w:tc>
          <w:tcPr>
            <w:tcW w:w="1100" w:type="dxa"/>
            <w:vAlign w:val="center"/>
          </w:tcPr>
          <w:p w14:paraId="47E46246">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助洁</w:t>
            </w:r>
          </w:p>
        </w:tc>
        <w:tc>
          <w:tcPr>
            <w:tcW w:w="4734" w:type="dxa"/>
            <w:vAlign w:val="center"/>
          </w:tcPr>
          <w:p w14:paraId="1BD68E6E">
            <w:pPr>
              <w:pStyle w:val="8"/>
              <w:keepNext w:val="0"/>
              <w:keepLines/>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头面部、手足部、口腔等清洁护理，理发等</w:t>
            </w:r>
          </w:p>
        </w:tc>
        <w:tc>
          <w:tcPr>
            <w:tcW w:w="1312" w:type="dxa"/>
            <w:vAlign w:val="center"/>
          </w:tcPr>
          <w:p w14:paraId="7A5EB9D9">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20-40分钟</w:t>
            </w:r>
          </w:p>
        </w:tc>
      </w:tr>
      <w:tr w14:paraId="3F69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5" w:type="dxa"/>
            <w:vAlign w:val="center"/>
          </w:tcPr>
          <w:p w14:paraId="46730A9A">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10</w:t>
            </w:r>
          </w:p>
        </w:tc>
        <w:tc>
          <w:tcPr>
            <w:tcW w:w="1266" w:type="dxa"/>
            <w:vMerge w:val="continue"/>
            <w:vAlign w:val="center"/>
          </w:tcPr>
          <w:p w14:paraId="08AC5495">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p>
        </w:tc>
        <w:tc>
          <w:tcPr>
            <w:tcW w:w="1100" w:type="dxa"/>
            <w:vAlign w:val="center"/>
          </w:tcPr>
          <w:p w14:paraId="3377885F">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助行</w:t>
            </w:r>
          </w:p>
        </w:tc>
        <w:tc>
          <w:tcPr>
            <w:tcW w:w="4734" w:type="dxa"/>
            <w:vAlign w:val="center"/>
          </w:tcPr>
          <w:p w14:paraId="136FBE6D">
            <w:pPr>
              <w:pStyle w:val="8"/>
              <w:keepNext w:val="0"/>
              <w:keepLines/>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室内移位、室外助行等</w:t>
            </w:r>
          </w:p>
        </w:tc>
        <w:tc>
          <w:tcPr>
            <w:tcW w:w="1312" w:type="dxa"/>
            <w:vAlign w:val="center"/>
          </w:tcPr>
          <w:p w14:paraId="0BB39CB1">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根据实际</w:t>
            </w:r>
          </w:p>
          <w:p w14:paraId="1F7AFC63">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情况确定</w:t>
            </w:r>
          </w:p>
        </w:tc>
      </w:tr>
      <w:tr w14:paraId="494E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5" w:type="dxa"/>
            <w:vAlign w:val="center"/>
          </w:tcPr>
          <w:p w14:paraId="4648EF84">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11</w:t>
            </w:r>
          </w:p>
        </w:tc>
        <w:tc>
          <w:tcPr>
            <w:tcW w:w="1266" w:type="dxa"/>
            <w:vMerge w:val="restart"/>
            <w:vAlign w:val="center"/>
          </w:tcPr>
          <w:p w14:paraId="22B9733B">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生活照料 服务</w:t>
            </w:r>
          </w:p>
        </w:tc>
        <w:tc>
          <w:tcPr>
            <w:tcW w:w="1100" w:type="dxa"/>
            <w:vAlign w:val="center"/>
          </w:tcPr>
          <w:p w14:paraId="24DB3AB8">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助急</w:t>
            </w:r>
          </w:p>
        </w:tc>
        <w:tc>
          <w:tcPr>
            <w:tcW w:w="4734" w:type="dxa"/>
            <w:vAlign w:val="center"/>
          </w:tcPr>
          <w:p w14:paraId="5D2736E1">
            <w:pPr>
              <w:pStyle w:val="8"/>
              <w:keepNext w:val="0"/>
              <w:keepLines/>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紧急呼叫、紧急转介等</w:t>
            </w:r>
          </w:p>
        </w:tc>
        <w:tc>
          <w:tcPr>
            <w:tcW w:w="1312" w:type="dxa"/>
            <w:vAlign w:val="center"/>
          </w:tcPr>
          <w:p w14:paraId="476E023D">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根据实际</w:t>
            </w:r>
          </w:p>
          <w:p w14:paraId="700A8B14">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情况确定</w:t>
            </w:r>
          </w:p>
        </w:tc>
      </w:tr>
      <w:tr w14:paraId="2DCA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5" w:type="dxa"/>
            <w:vAlign w:val="center"/>
          </w:tcPr>
          <w:p w14:paraId="1A1ED929">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12</w:t>
            </w:r>
          </w:p>
        </w:tc>
        <w:tc>
          <w:tcPr>
            <w:tcW w:w="1266" w:type="dxa"/>
            <w:vMerge w:val="continue"/>
            <w:vAlign w:val="center"/>
          </w:tcPr>
          <w:p w14:paraId="637810AB">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p>
        </w:tc>
        <w:tc>
          <w:tcPr>
            <w:tcW w:w="1100" w:type="dxa"/>
            <w:vAlign w:val="center"/>
          </w:tcPr>
          <w:p w14:paraId="0E0F581E">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助医</w:t>
            </w:r>
          </w:p>
        </w:tc>
        <w:tc>
          <w:tcPr>
            <w:tcW w:w="4734" w:type="dxa"/>
            <w:vAlign w:val="center"/>
          </w:tcPr>
          <w:p w14:paraId="5BC85424">
            <w:pPr>
              <w:pStyle w:val="8"/>
              <w:keepNext w:val="0"/>
              <w:keepLines/>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陪同就医、治疗陪伴等</w:t>
            </w:r>
          </w:p>
        </w:tc>
        <w:tc>
          <w:tcPr>
            <w:tcW w:w="1312" w:type="dxa"/>
            <w:vAlign w:val="center"/>
          </w:tcPr>
          <w:p w14:paraId="65B4D5F5">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根据实际</w:t>
            </w:r>
          </w:p>
          <w:p w14:paraId="3FB9FB29">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情况确定</w:t>
            </w:r>
          </w:p>
        </w:tc>
      </w:tr>
      <w:tr w14:paraId="4349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05" w:type="dxa"/>
            <w:vAlign w:val="center"/>
          </w:tcPr>
          <w:p w14:paraId="2B2F7C81">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13</w:t>
            </w:r>
          </w:p>
        </w:tc>
        <w:tc>
          <w:tcPr>
            <w:tcW w:w="1266" w:type="dxa"/>
            <w:vMerge w:val="restart"/>
            <w:vAlign w:val="center"/>
          </w:tcPr>
          <w:p w14:paraId="00DC65FC">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基础照护 服务</w:t>
            </w:r>
          </w:p>
        </w:tc>
        <w:tc>
          <w:tcPr>
            <w:tcW w:w="1100" w:type="dxa"/>
            <w:vAlign w:val="center"/>
          </w:tcPr>
          <w:p w14:paraId="17CAFAFD">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排泄护理</w:t>
            </w:r>
          </w:p>
        </w:tc>
        <w:tc>
          <w:tcPr>
            <w:tcW w:w="4734" w:type="dxa"/>
            <w:vAlign w:val="center"/>
          </w:tcPr>
          <w:p w14:paraId="49E095AA">
            <w:pPr>
              <w:pStyle w:val="8"/>
              <w:keepNext w:val="0"/>
              <w:keepLines/>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二便护理、排气护理等</w:t>
            </w:r>
          </w:p>
        </w:tc>
        <w:tc>
          <w:tcPr>
            <w:tcW w:w="1312" w:type="dxa"/>
            <w:vAlign w:val="center"/>
          </w:tcPr>
          <w:p w14:paraId="6548AC15">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10-30分钟</w:t>
            </w:r>
          </w:p>
        </w:tc>
      </w:tr>
      <w:tr w14:paraId="21E2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05" w:type="dxa"/>
            <w:vAlign w:val="center"/>
          </w:tcPr>
          <w:p w14:paraId="65403EFC">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14</w:t>
            </w:r>
          </w:p>
        </w:tc>
        <w:tc>
          <w:tcPr>
            <w:tcW w:w="1266" w:type="dxa"/>
            <w:vMerge w:val="continue"/>
            <w:vAlign w:val="center"/>
          </w:tcPr>
          <w:p w14:paraId="2639861C">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p>
        </w:tc>
        <w:tc>
          <w:tcPr>
            <w:tcW w:w="1100" w:type="dxa"/>
            <w:vAlign w:val="center"/>
          </w:tcPr>
          <w:p w14:paraId="7F7E766B">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护理协助</w:t>
            </w:r>
          </w:p>
        </w:tc>
        <w:tc>
          <w:tcPr>
            <w:tcW w:w="4734" w:type="dxa"/>
            <w:vAlign w:val="center"/>
          </w:tcPr>
          <w:p w14:paraId="2BEECD40">
            <w:pPr>
              <w:pStyle w:val="8"/>
              <w:keepNext w:val="0"/>
              <w:keepLines/>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协助和指导翻身、拍背、褥疮预防等</w:t>
            </w:r>
          </w:p>
        </w:tc>
        <w:tc>
          <w:tcPr>
            <w:tcW w:w="1312" w:type="dxa"/>
            <w:vAlign w:val="center"/>
          </w:tcPr>
          <w:p w14:paraId="46DE75DD">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5-30分钟</w:t>
            </w:r>
          </w:p>
        </w:tc>
      </w:tr>
      <w:tr w14:paraId="4D31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5" w:type="dxa"/>
            <w:vAlign w:val="center"/>
          </w:tcPr>
          <w:p w14:paraId="214F936C">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15</w:t>
            </w:r>
          </w:p>
        </w:tc>
        <w:tc>
          <w:tcPr>
            <w:tcW w:w="1266" w:type="dxa"/>
            <w:vMerge w:val="continue"/>
            <w:vAlign w:val="center"/>
          </w:tcPr>
          <w:p w14:paraId="22931EA5">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p>
        </w:tc>
        <w:tc>
          <w:tcPr>
            <w:tcW w:w="1100" w:type="dxa"/>
            <w:vAlign w:val="center"/>
          </w:tcPr>
          <w:p w14:paraId="0C85F6BB">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康复护理</w:t>
            </w:r>
          </w:p>
        </w:tc>
        <w:tc>
          <w:tcPr>
            <w:tcW w:w="4734" w:type="dxa"/>
            <w:vAlign w:val="center"/>
          </w:tcPr>
          <w:p w14:paraId="2CED064A">
            <w:pPr>
              <w:pStyle w:val="8"/>
              <w:keepNext w:val="0"/>
              <w:keepLines/>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康复评估、计划制定、康复指导、康复治疗、康复训练等</w:t>
            </w:r>
          </w:p>
        </w:tc>
        <w:tc>
          <w:tcPr>
            <w:tcW w:w="1312" w:type="dxa"/>
            <w:vAlign w:val="center"/>
          </w:tcPr>
          <w:p w14:paraId="6B88A92A">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5-30分钟</w:t>
            </w:r>
          </w:p>
        </w:tc>
      </w:tr>
      <w:tr w14:paraId="63A4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5" w:type="dxa"/>
            <w:vAlign w:val="center"/>
          </w:tcPr>
          <w:p w14:paraId="31BAFEE3">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16</w:t>
            </w:r>
          </w:p>
        </w:tc>
        <w:tc>
          <w:tcPr>
            <w:tcW w:w="1266" w:type="dxa"/>
            <w:vAlign w:val="center"/>
          </w:tcPr>
          <w:p w14:paraId="7A27E5E5">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探访关爱 服务</w:t>
            </w:r>
          </w:p>
        </w:tc>
        <w:tc>
          <w:tcPr>
            <w:tcW w:w="1100" w:type="dxa"/>
            <w:vAlign w:val="center"/>
          </w:tcPr>
          <w:p w14:paraId="2A5E29CC">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上门探访</w:t>
            </w:r>
          </w:p>
        </w:tc>
        <w:tc>
          <w:tcPr>
            <w:tcW w:w="4734" w:type="dxa"/>
            <w:vAlign w:val="center"/>
          </w:tcPr>
          <w:p w14:paraId="0D063C55">
            <w:pPr>
              <w:pStyle w:val="8"/>
              <w:keepNext w:val="0"/>
              <w:keepLines/>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了解掌握老年人的健康状况、精神状况、安全 情况、卫生状况、居室环境、服务需求等基 本情况</w:t>
            </w:r>
          </w:p>
        </w:tc>
        <w:tc>
          <w:tcPr>
            <w:tcW w:w="1312" w:type="dxa"/>
            <w:vAlign w:val="center"/>
          </w:tcPr>
          <w:p w14:paraId="664B2B93">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5-30分钟</w:t>
            </w:r>
          </w:p>
        </w:tc>
      </w:tr>
      <w:tr w14:paraId="0885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5" w:type="dxa"/>
            <w:vAlign w:val="center"/>
          </w:tcPr>
          <w:p w14:paraId="371BB914">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color w:val="000000"/>
                <w:sz w:val="22"/>
                <w:szCs w:val="22"/>
                <w:vertAlign w:val="baseline"/>
                <w:lang w:val="en-US" w:eastAsia="zh-CN"/>
              </w:rPr>
            </w:pPr>
            <w:r>
              <w:rPr>
                <w:rFonts w:hint="eastAsia" w:ascii="宋体" w:hAnsi="宋体" w:eastAsia="宋体" w:cs="宋体"/>
                <w:b w:val="0"/>
                <w:bCs w:val="0"/>
                <w:color w:val="000000"/>
                <w:sz w:val="22"/>
                <w:szCs w:val="22"/>
                <w:vertAlign w:val="baseline"/>
                <w:lang w:val="en-US" w:eastAsia="zh-CN"/>
              </w:rPr>
              <w:t>17</w:t>
            </w:r>
          </w:p>
        </w:tc>
        <w:tc>
          <w:tcPr>
            <w:tcW w:w="1266" w:type="dxa"/>
            <w:vAlign w:val="center"/>
          </w:tcPr>
          <w:p w14:paraId="6E5278F8">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健康管理 服务</w:t>
            </w:r>
          </w:p>
        </w:tc>
        <w:tc>
          <w:tcPr>
            <w:tcW w:w="1100" w:type="dxa"/>
            <w:vAlign w:val="center"/>
          </w:tcPr>
          <w:p w14:paraId="1D0A6363">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常规生理 指数监测</w:t>
            </w:r>
          </w:p>
        </w:tc>
        <w:tc>
          <w:tcPr>
            <w:tcW w:w="4734" w:type="dxa"/>
            <w:vAlign w:val="center"/>
          </w:tcPr>
          <w:p w14:paraId="1308B29E">
            <w:pPr>
              <w:pStyle w:val="8"/>
              <w:keepNext w:val="0"/>
              <w:keepLines/>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监测血压、血糖等</w:t>
            </w:r>
          </w:p>
        </w:tc>
        <w:tc>
          <w:tcPr>
            <w:tcW w:w="1312" w:type="dxa"/>
            <w:vAlign w:val="center"/>
          </w:tcPr>
          <w:p w14:paraId="2015CC04">
            <w:pPr>
              <w:pStyle w:val="8"/>
              <w:keepNext w:val="0"/>
              <w:keepLines/>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32"/>
                <w:szCs w:val="32"/>
                <w:vertAlign w:val="baseline"/>
                <w:lang w:val="en-US" w:eastAsia="zh-CN"/>
              </w:rPr>
            </w:pPr>
            <w:r>
              <w:rPr>
                <w:rFonts w:hint="eastAsia" w:ascii="宋体" w:hAnsi="宋体" w:eastAsia="宋体" w:cs="宋体"/>
                <w:b w:val="0"/>
                <w:bCs w:val="0"/>
                <w:color w:val="000000"/>
                <w:sz w:val="21"/>
                <w:szCs w:val="21"/>
              </w:rPr>
              <w:t>5-10分钟</w:t>
            </w:r>
          </w:p>
        </w:tc>
      </w:tr>
    </w:tbl>
    <w:p w14:paraId="1B76A576">
      <w:pPr>
        <w:pStyle w:val="8"/>
        <w:widowControl w:val="0"/>
        <w:numPr>
          <w:ilvl w:val="0"/>
          <w:numId w:val="0"/>
        </w:numPr>
        <w:jc w:val="both"/>
        <w:rPr>
          <w:rFonts w:ascii="黑体" w:hAnsi="宋体" w:eastAsia="黑体" w:cs="黑体"/>
          <w:b w:val="0"/>
          <w:bCs w:val="0"/>
          <w:color w:val="000000"/>
          <w:sz w:val="31"/>
          <w:szCs w:val="31"/>
        </w:rPr>
      </w:pPr>
    </w:p>
    <w:p w14:paraId="69593E97">
      <w:pPr>
        <w:pStyle w:val="8"/>
        <w:widowControl w:val="0"/>
        <w:numPr>
          <w:ilvl w:val="0"/>
          <w:numId w:val="0"/>
        </w:numPr>
        <w:jc w:val="both"/>
        <w:rPr>
          <w:rFonts w:ascii="方正小标宋简体" w:hAnsi="方正小标宋简体" w:eastAsia="方正小标宋简体" w:cs="方正小标宋简体"/>
          <w:b w:val="0"/>
          <w:bCs w:val="0"/>
          <w:color w:val="000000"/>
          <w:sz w:val="44"/>
          <w:szCs w:val="44"/>
        </w:rPr>
      </w:pPr>
      <w:r>
        <w:rPr>
          <w:rFonts w:ascii="黑体" w:hAnsi="宋体" w:eastAsia="黑体" w:cs="黑体"/>
          <w:b w:val="0"/>
          <w:bCs w:val="0"/>
          <w:color w:val="000000"/>
          <w:sz w:val="31"/>
          <w:szCs w:val="31"/>
        </w:rPr>
        <w:t>附件2</w:t>
      </w:r>
    </w:p>
    <w:p w14:paraId="2D522CF6">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jc w:val="center"/>
        <w:textAlignment w:val="auto"/>
        <w:rPr>
          <w:rFonts w:ascii="方正小标宋简体" w:hAnsi="方正小标宋简体" w:eastAsia="方正小标宋简体" w:cs="方正小标宋简体"/>
          <w:b w:val="0"/>
          <w:bCs w:val="0"/>
          <w:color w:val="000000"/>
          <w:sz w:val="43"/>
          <w:szCs w:val="43"/>
        </w:rPr>
      </w:pPr>
      <w:r>
        <w:rPr>
          <w:rFonts w:ascii="方正小标宋简体" w:hAnsi="方正小标宋简体" w:eastAsia="方正小标宋简体" w:cs="方正小标宋简体"/>
          <w:b w:val="0"/>
          <w:bCs w:val="0"/>
          <w:color w:val="000000"/>
          <w:sz w:val="44"/>
          <w:szCs w:val="44"/>
        </w:rPr>
        <w:t>老年人能力评估机构诚信承诺书</w:t>
      </w:r>
    </w:p>
    <w:p w14:paraId="71DA3ADB">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jc w:val="center"/>
        <w:textAlignment w:val="auto"/>
        <w:rPr>
          <w:rFonts w:ascii="楷体_GB2312" w:hAnsi="宋体" w:eastAsia="楷体_GB2312" w:cs="楷体_GB2312"/>
          <w:b w:val="0"/>
          <w:bCs w:val="0"/>
          <w:color w:val="000000"/>
          <w:sz w:val="31"/>
          <w:szCs w:val="31"/>
        </w:rPr>
      </w:pPr>
    </w:p>
    <w:p w14:paraId="31DDCCDE">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jc w:val="both"/>
        <w:textAlignment w:val="auto"/>
        <w:rPr>
          <w:rFonts w:ascii="仿宋_GB2312" w:hAnsi="宋体" w:eastAsia="仿宋_GB2312" w:cs="仿宋_GB2312"/>
          <w:b w:val="0"/>
          <w:bCs w:val="0"/>
          <w:color w:val="000000"/>
          <w:sz w:val="32"/>
          <w:szCs w:val="32"/>
        </w:rPr>
      </w:pPr>
      <w:r>
        <w:rPr>
          <w:rFonts w:ascii="仿宋_GB2312" w:hAnsi="宋体" w:eastAsia="仿宋_GB2312" w:cs="仿宋_GB2312"/>
          <w:b w:val="0"/>
          <w:bCs w:val="0"/>
          <w:color w:val="000000"/>
          <w:sz w:val="32"/>
          <w:szCs w:val="32"/>
        </w:rPr>
        <w:t>我机构自愿参与</w:t>
      </w:r>
      <w:r>
        <w:rPr>
          <w:rFonts w:hint="eastAsia" w:ascii="仿宋_GB2312" w:hAnsi="宋体" w:eastAsia="仿宋_GB2312" w:cs="仿宋_GB2312"/>
          <w:b w:val="0"/>
          <w:bCs w:val="0"/>
          <w:color w:val="000000"/>
          <w:sz w:val="32"/>
          <w:szCs w:val="32"/>
          <w:lang w:eastAsia="zh-CN"/>
        </w:rPr>
        <w:t>山丹县</w:t>
      </w:r>
      <w:r>
        <w:rPr>
          <w:rFonts w:ascii="仿宋_GB2312" w:hAnsi="宋体" w:eastAsia="仿宋_GB2312" w:cs="仿宋_GB2312"/>
          <w:b w:val="0"/>
          <w:bCs w:val="0"/>
          <w:color w:val="000000"/>
          <w:sz w:val="32"/>
          <w:szCs w:val="32"/>
        </w:rPr>
        <w:t xml:space="preserve">向中度以上失能老年人发放养老服 务消费补贴项目，为保证老年人能力评估工作的独立性、公正性 及评估结果的真实性、准确性，郑重作出如下承诺： </w:t>
      </w:r>
    </w:p>
    <w:p w14:paraId="631F431C">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jc w:val="both"/>
        <w:textAlignment w:val="auto"/>
        <w:rPr>
          <w:rFonts w:ascii="黑体" w:hAnsi="宋体" w:eastAsia="黑体" w:cs="黑体"/>
          <w:b w:val="0"/>
          <w:bCs w:val="0"/>
          <w:color w:val="000000"/>
          <w:sz w:val="32"/>
          <w:szCs w:val="32"/>
        </w:rPr>
      </w:pPr>
      <w:r>
        <w:rPr>
          <w:rFonts w:hint="eastAsia" w:ascii="黑体" w:hAnsi="宋体" w:eastAsia="黑体" w:cs="黑体"/>
          <w:b w:val="0"/>
          <w:bCs w:val="0"/>
          <w:color w:val="000000"/>
          <w:kern w:val="2"/>
          <w:sz w:val="32"/>
          <w:szCs w:val="32"/>
          <w:lang w:val="en-US" w:eastAsia="zh-CN" w:bidi="ar-SA"/>
        </w:rPr>
        <w:t>一、</w:t>
      </w:r>
      <w:r>
        <w:rPr>
          <w:rFonts w:ascii="黑体" w:hAnsi="宋体" w:eastAsia="黑体" w:cs="黑体"/>
          <w:b w:val="0"/>
          <w:bCs w:val="0"/>
          <w:color w:val="000000"/>
          <w:sz w:val="32"/>
          <w:szCs w:val="32"/>
        </w:rPr>
        <w:t>依法合规与标准承诺。</w:t>
      </w:r>
    </w:p>
    <w:p w14:paraId="7F055A0A">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宋体" w:eastAsia="仿宋_GB2312" w:cs="仿宋_GB2312"/>
          <w:b w:val="0"/>
          <w:bCs w:val="0"/>
          <w:color w:val="000000"/>
          <w:sz w:val="32"/>
          <w:szCs w:val="32"/>
          <w:lang w:eastAsia="zh-CN"/>
        </w:rPr>
      </w:pPr>
      <w:r>
        <w:rPr>
          <w:rFonts w:hint="eastAsia" w:ascii="仿宋_GB2312" w:hAnsi="宋体" w:eastAsia="仿宋_GB2312" w:cs="仿宋_GB2312"/>
          <w:b w:val="0"/>
          <w:bCs w:val="0"/>
          <w:color w:val="000000"/>
          <w:sz w:val="32"/>
          <w:szCs w:val="32"/>
        </w:rPr>
        <w:t>严格遵循国家及本省相关政策规定，依据《老年人能力评估规范》（GB/T 42195-2022）等国家标准和技术规范开展评估工作，确保评估过程规范、结果客观准确</w:t>
      </w:r>
      <w:r>
        <w:rPr>
          <w:rFonts w:hint="eastAsia" w:ascii="仿宋_GB2312" w:hAnsi="宋体" w:eastAsia="仿宋_GB2312" w:cs="仿宋_GB2312"/>
          <w:b w:val="0"/>
          <w:bCs w:val="0"/>
          <w:color w:val="000000"/>
          <w:sz w:val="32"/>
          <w:szCs w:val="32"/>
          <w:lang w:eastAsia="zh-CN"/>
        </w:rPr>
        <w:t>。</w:t>
      </w:r>
    </w:p>
    <w:p w14:paraId="0F07A8E6">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left="420" w:leftChars="0" w:firstLine="640" w:firstLineChars="200"/>
        <w:jc w:val="both"/>
        <w:textAlignment w:val="auto"/>
        <w:rPr>
          <w:rFonts w:hint="eastAsia" w:ascii="黑体" w:hAnsi="宋体" w:eastAsia="黑体" w:cs="黑体"/>
          <w:b w:val="0"/>
          <w:bCs w:val="0"/>
          <w:color w:val="000000"/>
          <w:sz w:val="32"/>
          <w:szCs w:val="32"/>
        </w:rPr>
      </w:pPr>
      <w:r>
        <w:rPr>
          <w:rFonts w:hint="eastAsia" w:ascii="黑体" w:hAnsi="宋体" w:eastAsia="黑体" w:cs="黑体"/>
          <w:b w:val="0"/>
          <w:bCs w:val="0"/>
          <w:color w:val="000000"/>
          <w:kern w:val="2"/>
          <w:sz w:val="32"/>
          <w:szCs w:val="32"/>
          <w:lang w:val="en-US" w:eastAsia="zh-CN" w:bidi="ar-SA"/>
        </w:rPr>
        <w:t>二、</w:t>
      </w:r>
      <w:r>
        <w:rPr>
          <w:rFonts w:hint="eastAsia" w:ascii="黑体" w:hAnsi="宋体" w:eastAsia="黑体" w:cs="黑体"/>
          <w:b w:val="0"/>
          <w:bCs w:val="0"/>
          <w:color w:val="000000"/>
          <w:sz w:val="32"/>
          <w:szCs w:val="32"/>
        </w:rPr>
        <w:t>利益冲突回避承诺。</w:t>
      </w:r>
    </w:p>
    <w:p w14:paraId="650EABAF">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宋体" w:eastAsia="仿宋_GB2312" w:cs="仿宋_GB2312"/>
          <w:b w:val="0"/>
          <w:bCs w:val="0"/>
          <w:color w:val="000000"/>
          <w:sz w:val="32"/>
          <w:szCs w:val="32"/>
        </w:rPr>
      </w:pPr>
      <w:r>
        <w:rPr>
          <w:rFonts w:hint="eastAsia" w:ascii="仿宋_GB2312" w:hAnsi="宋体" w:eastAsia="仿宋_GB2312" w:cs="仿宋_GB2312"/>
          <w:b w:val="0"/>
          <w:bCs w:val="0"/>
          <w:color w:val="000000"/>
          <w:sz w:val="32"/>
          <w:szCs w:val="32"/>
        </w:rPr>
        <w:t xml:space="preserve">为保证评估的独立性与公正性，本机构承诺不直接或间接参与提供由本项目补贴的养老服务。本机构的出资人、法定代表人、主要负责人、实际控制人，亦不通过持有股权、担任职务、协议控制或其他任何方式，实际控制或参与运营任何参与本项目的服务机构。 </w:t>
      </w:r>
    </w:p>
    <w:p w14:paraId="624BD5BF">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jc w:val="both"/>
        <w:textAlignment w:val="auto"/>
        <w:rPr>
          <w:rFonts w:hint="eastAsia" w:ascii="黑体" w:hAnsi="宋体" w:eastAsia="黑体" w:cs="黑体"/>
          <w:b w:val="0"/>
          <w:bCs w:val="0"/>
          <w:color w:val="000000"/>
          <w:sz w:val="32"/>
          <w:szCs w:val="32"/>
        </w:rPr>
      </w:pPr>
      <w:r>
        <w:rPr>
          <w:rFonts w:hint="eastAsia" w:ascii="黑体" w:hAnsi="宋体" w:eastAsia="黑体" w:cs="黑体"/>
          <w:b w:val="0"/>
          <w:bCs w:val="0"/>
          <w:color w:val="000000"/>
          <w:kern w:val="2"/>
          <w:sz w:val="32"/>
          <w:szCs w:val="32"/>
          <w:lang w:val="en-US" w:eastAsia="zh-CN" w:bidi="ar-SA"/>
        </w:rPr>
        <w:t>三、</w:t>
      </w:r>
      <w:r>
        <w:rPr>
          <w:rFonts w:hint="eastAsia" w:ascii="黑体" w:hAnsi="宋体" w:eastAsia="黑体" w:cs="黑体"/>
          <w:b w:val="0"/>
          <w:bCs w:val="0"/>
          <w:color w:val="000000"/>
          <w:sz w:val="32"/>
          <w:szCs w:val="32"/>
        </w:rPr>
        <w:t>职业道德与行为规范承诺。</w:t>
      </w:r>
    </w:p>
    <w:p w14:paraId="6D00EE2C">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宋体" w:eastAsia="仿宋_GB2312" w:cs="仿宋_GB2312"/>
          <w:b w:val="0"/>
          <w:bCs w:val="0"/>
          <w:color w:val="000000"/>
          <w:sz w:val="32"/>
          <w:szCs w:val="32"/>
        </w:rPr>
      </w:pPr>
      <w:r>
        <w:rPr>
          <w:rFonts w:hint="eastAsia" w:ascii="仿宋_GB2312" w:hAnsi="宋体" w:eastAsia="仿宋_GB2312" w:cs="仿宋_GB2312"/>
          <w:b w:val="0"/>
          <w:bCs w:val="0"/>
          <w:color w:val="000000"/>
          <w:sz w:val="32"/>
          <w:szCs w:val="32"/>
        </w:rPr>
        <w:t>不与任何养老服务提供商、 老年人及其家属合谋，不伪造、篡改评估过程或结果，不事先允诺或暗示评估结果以诱导参与评估。严格保护老年人个人信息安</w:t>
      </w:r>
      <w:r>
        <w:rPr>
          <w:rFonts w:hint="eastAsia" w:ascii="仿宋_GB2312" w:hAnsi="宋体" w:eastAsia="仿宋_GB2312" w:cs="仿宋_GB2312"/>
          <w:b w:val="0"/>
          <w:bCs w:val="0"/>
          <w:color w:val="000000"/>
          <w:spacing w:val="-6"/>
          <w:sz w:val="32"/>
          <w:szCs w:val="32"/>
        </w:rPr>
        <w:t>全，不得私自泄露、出售或非法向他人提供评估中获取的个人</w:t>
      </w:r>
      <w:r>
        <w:rPr>
          <w:rFonts w:hint="eastAsia" w:ascii="仿宋_GB2312" w:hAnsi="宋体" w:eastAsia="仿宋_GB2312" w:cs="仿宋_GB2312"/>
          <w:b w:val="0"/>
          <w:bCs w:val="0"/>
          <w:color w:val="000000"/>
          <w:spacing w:val="-6"/>
          <w:sz w:val="32"/>
          <w:szCs w:val="32"/>
          <w:lang w:eastAsia="zh-CN"/>
        </w:rPr>
        <w:t>信</w:t>
      </w:r>
      <w:r>
        <w:rPr>
          <w:rFonts w:hint="eastAsia" w:ascii="仿宋_GB2312" w:hAnsi="宋体" w:eastAsia="仿宋_GB2312" w:cs="仿宋_GB2312"/>
          <w:b w:val="0"/>
          <w:bCs w:val="0"/>
          <w:color w:val="000000"/>
          <w:spacing w:val="-6"/>
          <w:sz w:val="32"/>
          <w:szCs w:val="32"/>
        </w:rPr>
        <w:t>息。</w:t>
      </w:r>
    </w:p>
    <w:p w14:paraId="52FDAA02">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jc w:val="both"/>
        <w:textAlignment w:val="auto"/>
        <w:rPr>
          <w:rFonts w:hint="eastAsia" w:ascii="黑体" w:hAnsi="宋体" w:eastAsia="黑体" w:cs="黑体"/>
          <w:b w:val="0"/>
          <w:bCs w:val="0"/>
          <w:color w:val="000000"/>
          <w:sz w:val="32"/>
          <w:szCs w:val="32"/>
        </w:rPr>
      </w:pPr>
      <w:r>
        <w:rPr>
          <w:rFonts w:hint="eastAsia" w:ascii="黑体" w:hAnsi="宋体" w:eastAsia="黑体" w:cs="黑体"/>
          <w:b w:val="0"/>
          <w:bCs w:val="0"/>
          <w:color w:val="000000"/>
          <w:kern w:val="2"/>
          <w:sz w:val="32"/>
          <w:szCs w:val="32"/>
          <w:lang w:val="en-US" w:eastAsia="zh-CN" w:bidi="ar-SA"/>
        </w:rPr>
        <w:t>四、</w:t>
      </w:r>
      <w:r>
        <w:rPr>
          <w:rFonts w:hint="eastAsia" w:ascii="黑体" w:hAnsi="宋体" w:eastAsia="黑体" w:cs="黑体"/>
          <w:b w:val="0"/>
          <w:bCs w:val="0"/>
          <w:color w:val="000000"/>
          <w:sz w:val="32"/>
          <w:szCs w:val="32"/>
        </w:rPr>
        <w:t>能力建设与质量保证承诺。</w:t>
      </w:r>
    </w:p>
    <w:p w14:paraId="1FD199C2">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宋体" w:eastAsia="仿宋_GB2312" w:cs="仿宋_GB2312"/>
          <w:b w:val="0"/>
          <w:bCs w:val="0"/>
          <w:color w:val="000000"/>
          <w:sz w:val="32"/>
          <w:szCs w:val="32"/>
          <w:lang w:eastAsia="zh-CN"/>
        </w:rPr>
      </w:pPr>
      <w:r>
        <w:rPr>
          <w:rFonts w:hint="eastAsia" w:ascii="仿宋_GB2312" w:hAnsi="宋体" w:eastAsia="仿宋_GB2312" w:cs="仿宋_GB2312"/>
          <w:b w:val="0"/>
          <w:bCs w:val="0"/>
          <w:color w:val="000000"/>
          <w:sz w:val="32"/>
          <w:szCs w:val="32"/>
        </w:rPr>
        <w:t>在提供服务前，对全部评估人员进行充分的政策法规、国家标准及操作技能培训，确保其能够专业、严谨、友善地开展评估工作，并熟练操作相关信息系统</w:t>
      </w:r>
      <w:r>
        <w:rPr>
          <w:rFonts w:hint="eastAsia" w:ascii="仿宋_GB2312" w:hAnsi="宋体" w:eastAsia="仿宋_GB2312" w:cs="仿宋_GB2312"/>
          <w:b w:val="0"/>
          <w:bCs w:val="0"/>
          <w:color w:val="000000"/>
          <w:sz w:val="32"/>
          <w:szCs w:val="32"/>
          <w:lang w:eastAsia="zh-CN"/>
        </w:rPr>
        <w:t>。</w:t>
      </w:r>
    </w:p>
    <w:p w14:paraId="5B572E50">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jc w:val="both"/>
        <w:textAlignment w:val="auto"/>
        <w:rPr>
          <w:rFonts w:hint="eastAsia" w:ascii="黑体" w:hAnsi="宋体" w:eastAsia="黑体" w:cs="黑体"/>
          <w:b w:val="0"/>
          <w:bCs w:val="0"/>
          <w:color w:val="000000"/>
          <w:sz w:val="32"/>
          <w:szCs w:val="32"/>
        </w:rPr>
      </w:pPr>
      <w:r>
        <w:rPr>
          <w:rFonts w:hint="eastAsia" w:ascii="黑体" w:hAnsi="宋体" w:eastAsia="黑体" w:cs="黑体"/>
          <w:b w:val="0"/>
          <w:bCs w:val="0"/>
          <w:color w:val="000000"/>
          <w:kern w:val="2"/>
          <w:sz w:val="32"/>
          <w:szCs w:val="32"/>
          <w:lang w:val="en-US" w:eastAsia="zh-CN" w:bidi="ar-SA"/>
        </w:rPr>
        <w:t>五、</w:t>
      </w:r>
      <w:r>
        <w:rPr>
          <w:rFonts w:hint="eastAsia" w:ascii="黑体" w:hAnsi="宋体" w:eastAsia="黑体" w:cs="黑体"/>
          <w:b w:val="0"/>
          <w:bCs w:val="0"/>
          <w:color w:val="000000"/>
          <w:sz w:val="32"/>
          <w:szCs w:val="32"/>
        </w:rPr>
        <w:t>接受监督与配合核查承诺。</w:t>
      </w:r>
    </w:p>
    <w:p w14:paraId="26434F33">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宋体" w:eastAsia="仿宋_GB2312" w:cs="仿宋_GB2312"/>
          <w:b w:val="0"/>
          <w:bCs w:val="0"/>
          <w:color w:val="000000"/>
          <w:sz w:val="32"/>
          <w:szCs w:val="32"/>
        </w:rPr>
      </w:pPr>
      <w:r>
        <w:rPr>
          <w:rFonts w:hint="eastAsia" w:ascii="仿宋_GB2312" w:hAnsi="宋体" w:eastAsia="仿宋_GB2312" w:cs="仿宋_GB2312"/>
          <w:b w:val="0"/>
          <w:bCs w:val="0"/>
          <w:color w:val="000000"/>
          <w:sz w:val="32"/>
          <w:szCs w:val="32"/>
        </w:rPr>
        <w:t>自觉接受民政等主管部门的监督、管理、检查与审计。在获得评估费用结算后，按要求无条件配合后续的审计、核查及绩效评价等工作，按要求提供全部真实、完整的资料。</w:t>
      </w:r>
    </w:p>
    <w:p w14:paraId="396A6AA1">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宋体" w:eastAsia="仿宋_GB2312" w:cs="仿宋_GB2312"/>
          <w:b w:val="0"/>
          <w:bCs w:val="0"/>
          <w:color w:val="000000"/>
          <w:sz w:val="32"/>
          <w:szCs w:val="32"/>
        </w:rPr>
      </w:pPr>
      <w:r>
        <w:rPr>
          <w:rFonts w:hint="eastAsia" w:ascii="仿宋_GB2312" w:hAnsi="宋体" w:eastAsia="仿宋_GB2312" w:cs="仿宋_GB2312"/>
          <w:b w:val="0"/>
          <w:bCs w:val="0"/>
          <w:color w:val="000000"/>
          <w:sz w:val="32"/>
          <w:szCs w:val="32"/>
        </w:rPr>
        <w:t>若本机构出现违反上述任何一项承诺的行为，自愿承担以下 全部责任：</w:t>
      </w:r>
    </w:p>
    <w:p w14:paraId="5D2CCB24">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宋体" w:eastAsia="仿宋_GB2312" w:cs="仿宋_GB2312"/>
          <w:b w:val="0"/>
          <w:bCs w:val="0"/>
          <w:color w:val="000000"/>
          <w:sz w:val="32"/>
          <w:szCs w:val="32"/>
        </w:rPr>
      </w:pPr>
      <w:r>
        <w:rPr>
          <w:rFonts w:hint="eastAsia" w:ascii="仿宋_GB2312" w:hAnsi="宋体" w:eastAsia="仿宋_GB2312" w:cs="仿宋_GB2312"/>
          <w:b w:val="0"/>
          <w:bCs w:val="0"/>
          <w:color w:val="000000"/>
          <w:kern w:val="2"/>
          <w:sz w:val="32"/>
          <w:szCs w:val="32"/>
          <w:lang w:val="en-US" w:eastAsia="zh-CN" w:bidi="ar-SA"/>
        </w:rPr>
        <w:t>1.</w:t>
      </w:r>
      <w:r>
        <w:rPr>
          <w:rFonts w:hint="eastAsia" w:ascii="仿宋_GB2312" w:hAnsi="宋体" w:eastAsia="仿宋_GB2312" w:cs="仿宋_GB2312"/>
          <w:b w:val="0"/>
          <w:bCs w:val="0"/>
          <w:color w:val="000000"/>
          <w:sz w:val="32"/>
          <w:szCs w:val="32"/>
        </w:rPr>
        <w:t>取消项目参与资格；</w:t>
      </w:r>
    </w:p>
    <w:p w14:paraId="2FF550E4">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宋体" w:eastAsia="仿宋_GB2312" w:cs="仿宋_GB2312"/>
          <w:b w:val="0"/>
          <w:bCs w:val="0"/>
          <w:color w:val="000000"/>
          <w:sz w:val="32"/>
          <w:szCs w:val="32"/>
        </w:rPr>
      </w:pPr>
      <w:r>
        <w:rPr>
          <w:rFonts w:hint="eastAsia" w:ascii="仿宋_GB2312" w:hAnsi="宋体" w:eastAsia="仿宋_GB2312" w:cs="仿宋_GB2312"/>
          <w:b w:val="0"/>
          <w:bCs w:val="0"/>
          <w:color w:val="000000"/>
          <w:sz w:val="32"/>
          <w:szCs w:val="32"/>
        </w:rPr>
        <w:t>2.无条件退还已获得的全部评估补贴资金，并承担相应的资金损失；</w:t>
      </w:r>
    </w:p>
    <w:p w14:paraId="36E76873">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宋体" w:eastAsia="仿宋_GB2312" w:cs="仿宋_GB2312"/>
          <w:b w:val="0"/>
          <w:bCs w:val="0"/>
          <w:color w:val="000000"/>
          <w:sz w:val="32"/>
          <w:szCs w:val="32"/>
          <w:lang w:eastAsia="zh-CN"/>
        </w:rPr>
      </w:pPr>
      <w:r>
        <w:rPr>
          <w:rFonts w:hint="eastAsia" w:ascii="仿宋_GB2312" w:hAnsi="宋体" w:eastAsia="仿宋_GB2312" w:cs="仿宋_GB2312"/>
          <w:b w:val="0"/>
          <w:bCs w:val="0"/>
          <w:color w:val="000000"/>
          <w:sz w:val="32"/>
          <w:szCs w:val="32"/>
        </w:rPr>
        <w:t>3.依法承担由此引发的纠纷处理责任及可能的法律责任</w:t>
      </w:r>
      <w:r>
        <w:rPr>
          <w:rFonts w:hint="eastAsia" w:ascii="仿宋_GB2312" w:hAnsi="宋体" w:eastAsia="仿宋_GB2312" w:cs="仿宋_GB2312"/>
          <w:b w:val="0"/>
          <w:bCs w:val="0"/>
          <w:color w:val="000000"/>
          <w:sz w:val="32"/>
          <w:szCs w:val="32"/>
          <w:lang w:eastAsia="zh-CN"/>
        </w:rPr>
        <w:t>；</w:t>
      </w:r>
    </w:p>
    <w:p w14:paraId="5C156C8A">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宋体" w:eastAsia="仿宋_GB2312" w:cs="仿宋_GB2312"/>
          <w:b w:val="0"/>
          <w:bCs w:val="0"/>
          <w:color w:val="000000"/>
          <w:sz w:val="32"/>
          <w:szCs w:val="32"/>
          <w:lang w:eastAsia="zh-CN"/>
        </w:rPr>
      </w:pPr>
      <w:r>
        <w:rPr>
          <w:rFonts w:hint="eastAsia" w:ascii="仿宋_GB2312" w:hAnsi="宋体" w:eastAsia="仿宋_GB2312" w:cs="仿宋_GB2312"/>
          <w:b w:val="0"/>
          <w:bCs w:val="0"/>
          <w:color w:val="000000"/>
          <w:sz w:val="32"/>
          <w:szCs w:val="32"/>
        </w:rPr>
        <w:t>4.接受将其违规行为纳入养老服务领域信用记录，并依法依 规实施联合惩戒</w:t>
      </w:r>
      <w:r>
        <w:rPr>
          <w:rFonts w:hint="eastAsia" w:ascii="仿宋_GB2312" w:hAnsi="宋体" w:eastAsia="仿宋_GB2312" w:cs="仿宋_GB2312"/>
          <w:b w:val="0"/>
          <w:bCs w:val="0"/>
          <w:color w:val="000000"/>
          <w:sz w:val="32"/>
          <w:szCs w:val="32"/>
          <w:lang w:eastAsia="zh-CN"/>
        </w:rPr>
        <w:t>。</w:t>
      </w:r>
    </w:p>
    <w:p w14:paraId="2C032D30">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宋体" w:eastAsia="仿宋_GB2312" w:cs="仿宋_GB2312"/>
          <w:b w:val="0"/>
          <w:bCs w:val="0"/>
          <w:color w:val="000000"/>
          <w:sz w:val="32"/>
          <w:szCs w:val="32"/>
        </w:rPr>
      </w:pPr>
      <w:r>
        <w:rPr>
          <w:rFonts w:hint="eastAsia" w:ascii="仿宋_GB2312" w:hAnsi="宋体" w:eastAsia="仿宋_GB2312" w:cs="仿宋_GB2312"/>
          <w:b w:val="0"/>
          <w:bCs w:val="0"/>
          <w:color w:val="000000"/>
          <w:sz w:val="32"/>
          <w:szCs w:val="32"/>
        </w:rPr>
        <w:t>特此承诺。</w:t>
      </w:r>
    </w:p>
    <w:p w14:paraId="1527FE08">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960" w:firstLineChars="300"/>
        <w:jc w:val="both"/>
        <w:textAlignment w:val="auto"/>
        <w:rPr>
          <w:rFonts w:hint="eastAsia" w:ascii="仿宋_GB2312" w:hAnsi="宋体" w:eastAsia="仿宋_GB2312" w:cs="仿宋_GB2312"/>
          <w:b w:val="0"/>
          <w:bCs w:val="0"/>
          <w:color w:val="000000"/>
          <w:sz w:val="32"/>
          <w:szCs w:val="32"/>
        </w:rPr>
      </w:pPr>
    </w:p>
    <w:p w14:paraId="294E2AE5">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宋体" w:eastAsia="仿宋_GB2312" w:cs="仿宋_GB2312"/>
          <w:b w:val="0"/>
          <w:bCs w:val="0"/>
          <w:color w:val="000000"/>
          <w:sz w:val="32"/>
          <w:szCs w:val="32"/>
        </w:rPr>
      </w:pPr>
      <w:r>
        <w:rPr>
          <w:rFonts w:hint="eastAsia" w:ascii="仿宋_GB2312" w:hAnsi="宋体" w:eastAsia="仿宋_GB2312" w:cs="仿宋_GB2312"/>
          <w:b w:val="0"/>
          <w:bCs w:val="0"/>
          <w:color w:val="000000"/>
          <w:sz w:val="32"/>
          <w:szCs w:val="32"/>
        </w:rPr>
        <w:t>公章</w:t>
      </w:r>
      <w:r>
        <w:rPr>
          <w:rFonts w:hint="eastAsia" w:ascii="仿宋_GB2312" w:hAnsi="宋体" w:eastAsia="仿宋_GB2312" w:cs="仿宋_GB2312"/>
          <w:b w:val="0"/>
          <w:bCs w:val="0"/>
          <w:color w:val="000000"/>
          <w:sz w:val="32"/>
          <w:szCs w:val="32"/>
          <w:lang w:eastAsia="zh-CN"/>
        </w:rPr>
        <w:t>：</w:t>
      </w:r>
      <w:r>
        <w:rPr>
          <w:rFonts w:hint="eastAsia" w:ascii="仿宋_GB2312" w:hAnsi="宋体" w:eastAsia="仿宋_GB2312" w:cs="仿宋_GB2312"/>
          <w:b w:val="0"/>
          <w:bCs w:val="0"/>
          <w:color w:val="000000"/>
          <w:sz w:val="32"/>
          <w:szCs w:val="32"/>
        </w:rPr>
        <w:t xml:space="preserve"> </w:t>
      </w:r>
    </w:p>
    <w:p w14:paraId="597F840B">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jc w:val="both"/>
        <w:textAlignment w:val="auto"/>
        <w:rPr>
          <w:rFonts w:hint="eastAsia" w:ascii="仿宋_GB2312" w:hAnsi="宋体" w:eastAsia="仿宋_GB2312" w:cs="仿宋_GB2312"/>
          <w:b w:val="0"/>
          <w:bCs w:val="0"/>
          <w:color w:val="000000"/>
          <w:sz w:val="32"/>
          <w:szCs w:val="32"/>
        </w:rPr>
      </w:pPr>
    </w:p>
    <w:p w14:paraId="327D7C99">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jc w:val="both"/>
        <w:textAlignment w:val="auto"/>
        <w:rPr>
          <w:rFonts w:hint="eastAsia" w:ascii="仿宋_GB2312" w:hAnsi="宋体" w:eastAsia="仿宋_GB2312" w:cs="仿宋_GB2312"/>
          <w:b w:val="0"/>
          <w:bCs w:val="0"/>
          <w:color w:val="000000"/>
          <w:sz w:val="32"/>
          <w:szCs w:val="32"/>
        </w:rPr>
      </w:pPr>
      <w:r>
        <w:rPr>
          <w:rFonts w:hint="eastAsia" w:ascii="仿宋_GB2312" w:hAnsi="宋体" w:eastAsia="仿宋_GB2312" w:cs="仿宋_GB2312"/>
          <w:b w:val="0"/>
          <w:bCs w:val="0"/>
          <w:color w:val="000000"/>
          <w:sz w:val="32"/>
          <w:szCs w:val="32"/>
        </w:rPr>
        <w:t>法定代表人签章：</w:t>
      </w:r>
    </w:p>
    <w:p w14:paraId="0F02967A">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left="420" w:leftChars="0" w:firstLine="5760" w:firstLineChars="1800"/>
        <w:jc w:val="both"/>
        <w:textAlignment w:val="auto"/>
        <w:rPr>
          <w:rFonts w:ascii="方正小标宋简体" w:hAnsi="方正小标宋简体" w:eastAsia="方正小标宋简体" w:cs="方正小标宋简体"/>
          <w:b w:val="0"/>
          <w:bCs w:val="0"/>
          <w:color w:val="000000"/>
          <w:sz w:val="43"/>
          <w:szCs w:val="43"/>
        </w:rPr>
      </w:pPr>
      <w:r>
        <w:rPr>
          <w:rFonts w:hint="eastAsia" w:ascii="仿宋_GB2312" w:hAnsi="宋体" w:eastAsia="仿宋_GB2312" w:cs="仿宋_GB2312"/>
          <w:b w:val="0"/>
          <w:bCs w:val="0"/>
          <w:color w:val="000000"/>
          <w:sz w:val="32"/>
          <w:szCs w:val="32"/>
        </w:rPr>
        <w:t xml:space="preserve"> 年</w:t>
      </w:r>
      <w:r>
        <w:rPr>
          <w:rFonts w:hint="eastAsia" w:ascii="仿宋_GB2312" w:hAnsi="宋体" w:eastAsia="仿宋_GB2312" w:cs="仿宋_GB2312"/>
          <w:b w:val="0"/>
          <w:bCs w:val="0"/>
          <w:color w:val="000000"/>
          <w:sz w:val="32"/>
          <w:szCs w:val="32"/>
          <w:lang w:val="en-US" w:eastAsia="zh-CN"/>
        </w:rPr>
        <w:t xml:space="preserve">  </w:t>
      </w:r>
      <w:r>
        <w:rPr>
          <w:rFonts w:hint="eastAsia" w:ascii="仿宋_GB2312" w:hAnsi="宋体" w:eastAsia="仿宋_GB2312" w:cs="仿宋_GB2312"/>
          <w:b w:val="0"/>
          <w:bCs w:val="0"/>
          <w:color w:val="000000"/>
          <w:sz w:val="32"/>
          <w:szCs w:val="32"/>
        </w:rPr>
        <w:t>月</w:t>
      </w:r>
      <w:r>
        <w:rPr>
          <w:rFonts w:hint="eastAsia" w:ascii="仿宋_GB2312" w:hAnsi="宋体" w:eastAsia="仿宋_GB2312" w:cs="仿宋_GB2312"/>
          <w:b w:val="0"/>
          <w:bCs w:val="0"/>
          <w:color w:val="000000"/>
          <w:sz w:val="32"/>
          <w:szCs w:val="32"/>
          <w:lang w:val="en-US" w:eastAsia="zh-CN"/>
        </w:rPr>
        <w:t xml:space="preserve">  </w:t>
      </w:r>
      <w:r>
        <w:rPr>
          <w:rFonts w:hint="eastAsia" w:ascii="仿宋_GB2312" w:hAnsi="宋体" w:eastAsia="仿宋_GB2312" w:cs="仿宋_GB2312"/>
          <w:b w:val="0"/>
          <w:bCs w:val="0"/>
          <w:color w:val="000000"/>
          <w:sz w:val="32"/>
          <w:szCs w:val="32"/>
        </w:rPr>
        <w:t>日</w:t>
      </w:r>
    </w:p>
    <w:p w14:paraId="5D15CAFD">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jc w:val="center"/>
        <w:textAlignment w:val="auto"/>
        <w:rPr>
          <w:rFonts w:ascii="方正小标宋简体" w:hAnsi="方正小标宋简体" w:eastAsia="方正小标宋简体" w:cs="方正小标宋简体"/>
          <w:b w:val="0"/>
          <w:bCs w:val="0"/>
          <w:color w:val="000000"/>
          <w:sz w:val="44"/>
          <w:szCs w:val="44"/>
        </w:rPr>
      </w:pPr>
    </w:p>
    <w:p w14:paraId="5075395B">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jc w:val="center"/>
        <w:textAlignment w:val="auto"/>
        <w:rPr>
          <w:rFonts w:ascii="方正小标宋简体" w:hAnsi="方正小标宋简体" w:eastAsia="方正小标宋简体" w:cs="方正小标宋简体"/>
          <w:b w:val="0"/>
          <w:bCs w:val="0"/>
          <w:color w:val="000000"/>
          <w:sz w:val="44"/>
          <w:szCs w:val="44"/>
        </w:rPr>
      </w:pPr>
    </w:p>
    <w:p w14:paraId="089EAB68">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jc w:val="center"/>
        <w:textAlignment w:val="auto"/>
        <w:rPr>
          <w:rFonts w:ascii="方正小标宋简体" w:hAnsi="方正小标宋简体" w:eastAsia="方正小标宋简体" w:cs="方正小标宋简体"/>
          <w:b w:val="0"/>
          <w:bCs w:val="0"/>
          <w:color w:val="000000"/>
          <w:sz w:val="43"/>
          <w:szCs w:val="43"/>
        </w:rPr>
      </w:pPr>
      <w:r>
        <w:rPr>
          <w:rFonts w:ascii="方正小标宋简体" w:hAnsi="方正小标宋简体" w:eastAsia="方正小标宋简体" w:cs="方正小标宋简体"/>
          <w:b w:val="0"/>
          <w:bCs w:val="0"/>
          <w:color w:val="000000"/>
          <w:sz w:val="44"/>
          <w:szCs w:val="44"/>
        </w:rPr>
        <w:t>养老（服务）机构诚信承诺书</w:t>
      </w:r>
    </w:p>
    <w:p w14:paraId="17BA3460">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jc w:val="both"/>
        <w:textAlignment w:val="auto"/>
        <w:rPr>
          <w:rFonts w:ascii="仿宋_GB2312" w:hAnsi="宋体" w:eastAsia="仿宋_GB2312" w:cs="仿宋_GB2312"/>
          <w:b w:val="0"/>
          <w:bCs w:val="0"/>
          <w:color w:val="000000"/>
          <w:sz w:val="32"/>
          <w:szCs w:val="32"/>
        </w:rPr>
      </w:pPr>
    </w:p>
    <w:p w14:paraId="58656C61">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jc w:val="both"/>
        <w:textAlignment w:val="auto"/>
        <w:rPr>
          <w:rFonts w:ascii="仿宋_GB2312" w:hAnsi="宋体" w:eastAsia="仿宋_GB2312" w:cs="仿宋_GB2312"/>
          <w:b w:val="0"/>
          <w:bCs w:val="0"/>
          <w:color w:val="000000"/>
          <w:sz w:val="32"/>
          <w:szCs w:val="32"/>
        </w:rPr>
      </w:pPr>
      <w:r>
        <w:rPr>
          <w:rFonts w:ascii="仿宋_GB2312" w:hAnsi="宋体" w:eastAsia="仿宋_GB2312" w:cs="仿宋_GB2312"/>
          <w:b w:val="0"/>
          <w:bCs w:val="0"/>
          <w:color w:val="000000"/>
          <w:sz w:val="32"/>
          <w:szCs w:val="32"/>
        </w:rPr>
        <w:t>我机构自愿参与</w:t>
      </w:r>
      <w:r>
        <w:rPr>
          <w:rFonts w:hint="eastAsia" w:ascii="仿宋_GB2312" w:hAnsi="宋体" w:eastAsia="仿宋_GB2312" w:cs="仿宋_GB2312"/>
          <w:b w:val="0"/>
          <w:bCs w:val="0"/>
          <w:color w:val="000000"/>
          <w:sz w:val="32"/>
          <w:szCs w:val="32"/>
          <w:lang w:eastAsia="zh-CN"/>
        </w:rPr>
        <w:t>山丹县</w:t>
      </w:r>
      <w:r>
        <w:rPr>
          <w:rFonts w:ascii="仿宋_GB2312" w:hAnsi="宋体" w:eastAsia="仿宋_GB2312" w:cs="仿宋_GB2312"/>
          <w:b w:val="0"/>
          <w:bCs w:val="0"/>
          <w:color w:val="000000"/>
          <w:sz w:val="32"/>
          <w:szCs w:val="32"/>
        </w:rPr>
        <w:t>向中度以上失能老年人发放养老服 务消费补贴项目，为依法合规经营、提升服务质量、维护老年人 合法权益，郑重作出如下承诺：</w:t>
      </w:r>
    </w:p>
    <w:p w14:paraId="6C2282F7">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left="420" w:leftChars="0" w:firstLine="640" w:firstLineChars="200"/>
        <w:jc w:val="both"/>
        <w:textAlignment w:val="auto"/>
        <w:rPr>
          <w:rFonts w:hint="eastAsia" w:ascii="仿宋_GB2312" w:hAnsi="宋体" w:eastAsia="仿宋_GB2312" w:cs="仿宋_GB2312"/>
          <w:b w:val="0"/>
          <w:bCs w:val="0"/>
          <w:color w:val="000000"/>
          <w:sz w:val="32"/>
          <w:szCs w:val="32"/>
        </w:rPr>
      </w:pPr>
      <w:r>
        <w:rPr>
          <w:rFonts w:hint="eastAsia" w:ascii="黑体" w:hAnsi="黑体" w:eastAsia="黑体" w:cs="黑体"/>
          <w:b w:val="0"/>
          <w:bCs w:val="0"/>
          <w:color w:val="000000"/>
          <w:kern w:val="2"/>
          <w:sz w:val="32"/>
          <w:szCs w:val="32"/>
          <w:lang w:val="en-US" w:eastAsia="zh-CN" w:bidi="ar-SA"/>
        </w:rPr>
        <w:t>一、</w:t>
      </w:r>
      <w:r>
        <w:rPr>
          <w:rFonts w:hint="eastAsia" w:ascii="黑体" w:hAnsi="黑体" w:eastAsia="黑体" w:cs="黑体"/>
          <w:b w:val="0"/>
          <w:bCs w:val="0"/>
          <w:color w:val="000000"/>
          <w:sz w:val="32"/>
          <w:szCs w:val="32"/>
        </w:rPr>
        <w:t>价格与收费承诺。</w:t>
      </w:r>
      <w:r>
        <w:rPr>
          <w:rFonts w:hint="eastAsia" w:ascii="仿宋_GB2312" w:hAnsi="宋体" w:eastAsia="仿宋_GB2312" w:cs="仿宋_GB2312"/>
          <w:b w:val="0"/>
          <w:bCs w:val="0"/>
          <w:color w:val="000000"/>
          <w:sz w:val="32"/>
          <w:szCs w:val="32"/>
        </w:rPr>
        <w:t>在本项目实施期间，所提供服务的价格不高于参与本项目前三个月同类服务的实际平均价格，严禁“先涨价后抵扣”。老年人可同时享受本机构其他公开优惠活动与本项目消费补贴。</w:t>
      </w:r>
    </w:p>
    <w:p w14:paraId="19ED0E89">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left="420" w:leftChars="0" w:firstLine="640" w:firstLineChars="200"/>
        <w:jc w:val="both"/>
        <w:textAlignment w:val="auto"/>
        <w:rPr>
          <w:rFonts w:hint="eastAsia" w:ascii="仿宋_GB2312" w:hAnsi="宋体" w:eastAsia="仿宋_GB2312" w:cs="仿宋_GB2312"/>
          <w:b w:val="0"/>
          <w:bCs w:val="0"/>
          <w:color w:val="000000"/>
          <w:sz w:val="32"/>
          <w:szCs w:val="32"/>
        </w:rPr>
      </w:pPr>
      <w:r>
        <w:rPr>
          <w:rFonts w:hint="eastAsia" w:ascii="黑体" w:hAnsi="黑体" w:eastAsia="黑体" w:cs="黑体"/>
          <w:b w:val="0"/>
          <w:bCs w:val="0"/>
          <w:color w:val="000000"/>
          <w:kern w:val="2"/>
          <w:sz w:val="32"/>
          <w:szCs w:val="32"/>
          <w:lang w:val="en-US" w:eastAsia="zh-CN" w:bidi="ar-SA"/>
        </w:rPr>
        <w:t>二、</w:t>
      </w:r>
      <w:r>
        <w:rPr>
          <w:rFonts w:hint="eastAsia" w:ascii="黑体" w:hAnsi="黑体" w:eastAsia="黑体" w:cs="黑体"/>
          <w:b w:val="0"/>
          <w:bCs w:val="0"/>
          <w:color w:val="000000"/>
          <w:sz w:val="32"/>
          <w:szCs w:val="32"/>
        </w:rPr>
        <w:t>服务规范与协议承诺。</w:t>
      </w:r>
      <w:r>
        <w:rPr>
          <w:rFonts w:hint="eastAsia" w:ascii="仿宋_GB2312" w:hAnsi="宋体" w:eastAsia="仿宋_GB2312" w:cs="仿宋_GB2312"/>
          <w:b w:val="0"/>
          <w:bCs w:val="0"/>
          <w:color w:val="000000"/>
          <w:sz w:val="32"/>
          <w:szCs w:val="32"/>
        </w:rPr>
        <w:t>严格按照服务标准提供服务，服务前与老年人或其代理人签订书面服务协议，明确服务内容、标准、价格、双方权利义务及风险责任。</w:t>
      </w:r>
    </w:p>
    <w:p w14:paraId="197B698D">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leftChars="200" w:firstLine="640" w:firstLineChars="200"/>
        <w:jc w:val="both"/>
        <w:textAlignment w:val="auto"/>
        <w:rPr>
          <w:rFonts w:hint="eastAsia" w:ascii="仿宋_GB2312" w:hAnsi="宋体" w:eastAsia="仿宋_GB2312" w:cs="仿宋_GB2312"/>
          <w:b w:val="0"/>
          <w:bCs w:val="0"/>
          <w:color w:val="000000"/>
          <w:sz w:val="32"/>
          <w:szCs w:val="32"/>
        </w:rPr>
      </w:pPr>
      <w:r>
        <w:rPr>
          <w:rFonts w:hint="eastAsia" w:ascii="黑体" w:hAnsi="宋体" w:eastAsia="黑体" w:cs="黑体"/>
          <w:b w:val="0"/>
          <w:bCs w:val="0"/>
          <w:color w:val="000000"/>
          <w:sz w:val="32"/>
          <w:szCs w:val="32"/>
        </w:rPr>
        <w:t>三、信息报告与动态管理承诺。</w:t>
      </w:r>
      <w:r>
        <w:rPr>
          <w:rFonts w:hint="eastAsia" w:ascii="仿宋_GB2312" w:hAnsi="宋体" w:eastAsia="仿宋_GB2312" w:cs="仿宋_GB2312"/>
          <w:b w:val="0"/>
          <w:bCs w:val="0"/>
          <w:color w:val="000000"/>
          <w:sz w:val="32"/>
          <w:szCs w:val="32"/>
        </w:rPr>
        <w:t>如实、及时在“民政通”平台录入服务信息、核销消费券，并保证所有提交资料、票据的真实、完整、有效。如发现服务对象身体状况等发生变化不再符合补贴条件，立即告知所在地县级民政部门。</w:t>
      </w:r>
    </w:p>
    <w:p w14:paraId="0FBE3DEB">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leftChars="200" w:firstLine="640" w:firstLineChars="200"/>
        <w:jc w:val="both"/>
        <w:textAlignment w:val="auto"/>
        <w:rPr>
          <w:rFonts w:hint="eastAsia" w:ascii="仿宋_GB2312" w:hAnsi="宋体" w:eastAsia="仿宋_GB2312" w:cs="仿宋_GB2312"/>
          <w:b w:val="0"/>
          <w:bCs w:val="0"/>
          <w:color w:val="000000"/>
          <w:sz w:val="32"/>
          <w:szCs w:val="32"/>
        </w:rPr>
      </w:pPr>
      <w:r>
        <w:rPr>
          <w:rFonts w:hint="eastAsia" w:ascii="黑体" w:hAnsi="宋体" w:eastAsia="黑体" w:cs="黑体"/>
          <w:b w:val="0"/>
          <w:bCs w:val="0"/>
          <w:color w:val="000000"/>
          <w:sz w:val="32"/>
          <w:szCs w:val="32"/>
        </w:rPr>
        <w:t>四、公平竞争与独立性承诺。</w:t>
      </w:r>
      <w:r>
        <w:rPr>
          <w:rFonts w:hint="eastAsia" w:ascii="仿宋_GB2312" w:hAnsi="宋体" w:eastAsia="仿宋_GB2312" w:cs="仿宋_GB2312"/>
          <w:b w:val="0"/>
          <w:bCs w:val="0"/>
          <w:color w:val="000000"/>
          <w:sz w:val="32"/>
          <w:szCs w:val="32"/>
        </w:rPr>
        <w:t>本机构及出资人、法定代表人、主要负责人、实际控制人，不直接或间接举办、控制或参与运营任何为本项目提供老年人能力评估服务的机构，不干预、不影响评估工作的独立性与公正性。</w:t>
      </w:r>
    </w:p>
    <w:p w14:paraId="4017CF80">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leftChars="200" w:firstLine="640" w:firstLineChars="200"/>
        <w:jc w:val="both"/>
        <w:textAlignment w:val="auto"/>
        <w:rPr>
          <w:rFonts w:hint="eastAsia" w:ascii="仿宋_GB2312" w:hAnsi="宋体" w:eastAsia="仿宋_GB2312" w:cs="仿宋_GB2312"/>
          <w:b w:val="0"/>
          <w:bCs w:val="0"/>
          <w:color w:val="000000"/>
          <w:sz w:val="32"/>
          <w:szCs w:val="32"/>
        </w:rPr>
      </w:pPr>
      <w:r>
        <w:rPr>
          <w:rFonts w:hint="eastAsia" w:ascii="黑体" w:hAnsi="宋体" w:eastAsia="黑体" w:cs="黑体"/>
          <w:b w:val="0"/>
          <w:bCs w:val="0"/>
          <w:color w:val="000000"/>
          <w:sz w:val="32"/>
          <w:szCs w:val="32"/>
        </w:rPr>
        <w:t>五、接受监督与配合核查承诺：</w:t>
      </w:r>
      <w:r>
        <w:rPr>
          <w:rFonts w:hint="eastAsia" w:ascii="仿宋_GB2312" w:hAnsi="宋体" w:eastAsia="仿宋_GB2312" w:cs="仿宋_GB2312"/>
          <w:b w:val="0"/>
          <w:bCs w:val="0"/>
          <w:color w:val="000000"/>
          <w:sz w:val="32"/>
          <w:szCs w:val="32"/>
        </w:rPr>
        <w:t>自觉接受民政、市场监管等部门的监督管理。在获得消费券结算资金后，按要求无条件配合审计、检查及绩效评价，提供全部真实材料。</w:t>
      </w:r>
    </w:p>
    <w:p w14:paraId="3C318E8C">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leftChars="200" w:firstLine="640" w:firstLineChars="200"/>
        <w:jc w:val="both"/>
        <w:textAlignment w:val="auto"/>
        <w:rPr>
          <w:rFonts w:hint="eastAsia" w:ascii="仿宋_GB2312" w:hAnsi="宋体" w:eastAsia="仿宋_GB2312" w:cs="仿宋_GB2312"/>
          <w:b w:val="0"/>
          <w:bCs w:val="0"/>
          <w:color w:val="000000"/>
          <w:sz w:val="32"/>
          <w:szCs w:val="32"/>
        </w:rPr>
      </w:pPr>
      <w:r>
        <w:rPr>
          <w:rFonts w:hint="eastAsia" w:ascii="仿宋_GB2312" w:hAnsi="宋体" w:eastAsia="仿宋_GB2312" w:cs="仿宋_GB2312"/>
          <w:b w:val="0"/>
          <w:bCs w:val="0"/>
          <w:color w:val="000000"/>
          <w:sz w:val="32"/>
          <w:szCs w:val="32"/>
        </w:rPr>
        <w:t>若本机构出现违反上述任何一项承诺的行为，自愿承担以下全部责任：</w:t>
      </w:r>
    </w:p>
    <w:p w14:paraId="033562C1">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left="420" w:leftChars="200" w:firstLine="640" w:firstLineChars="200"/>
        <w:jc w:val="both"/>
        <w:textAlignment w:val="auto"/>
        <w:rPr>
          <w:rFonts w:hint="eastAsia" w:ascii="仿宋_GB2312" w:hAnsi="宋体" w:eastAsia="仿宋_GB2312" w:cs="仿宋_GB2312"/>
          <w:b w:val="0"/>
          <w:bCs w:val="0"/>
          <w:color w:val="000000"/>
          <w:sz w:val="32"/>
          <w:szCs w:val="32"/>
        </w:rPr>
      </w:pPr>
      <w:r>
        <w:rPr>
          <w:rFonts w:hint="eastAsia" w:ascii="仿宋_GB2312" w:hAnsi="宋体" w:eastAsia="仿宋_GB2312" w:cs="仿宋_GB2312"/>
          <w:b w:val="0"/>
          <w:bCs w:val="0"/>
          <w:color w:val="000000"/>
          <w:kern w:val="2"/>
          <w:sz w:val="32"/>
          <w:szCs w:val="32"/>
          <w:lang w:val="en-US" w:eastAsia="zh-CN" w:bidi="ar-SA"/>
        </w:rPr>
        <w:t>1.</w:t>
      </w:r>
      <w:r>
        <w:rPr>
          <w:rFonts w:hint="eastAsia" w:ascii="仿宋_GB2312" w:hAnsi="宋体" w:eastAsia="仿宋_GB2312" w:cs="仿宋_GB2312"/>
          <w:b w:val="0"/>
          <w:bCs w:val="0"/>
          <w:color w:val="000000"/>
          <w:sz w:val="32"/>
          <w:szCs w:val="32"/>
        </w:rPr>
        <w:t>取消项目参与资格；</w:t>
      </w:r>
    </w:p>
    <w:p w14:paraId="3335510C">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left="420" w:leftChars="200" w:firstLine="640" w:firstLineChars="200"/>
        <w:jc w:val="both"/>
        <w:textAlignment w:val="auto"/>
        <w:rPr>
          <w:rFonts w:hint="eastAsia" w:ascii="仿宋_GB2312" w:hAnsi="宋体" w:eastAsia="仿宋_GB2312" w:cs="仿宋_GB2312"/>
          <w:b w:val="0"/>
          <w:bCs w:val="0"/>
          <w:color w:val="000000"/>
          <w:sz w:val="32"/>
          <w:szCs w:val="32"/>
        </w:rPr>
      </w:pPr>
      <w:r>
        <w:rPr>
          <w:rFonts w:hint="eastAsia" w:ascii="仿宋_GB2312" w:hAnsi="宋体" w:eastAsia="仿宋_GB2312" w:cs="仿宋_GB2312"/>
          <w:b w:val="0"/>
          <w:bCs w:val="0"/>
          <w:color w:val="000000"/>
          <w:sz w:val="32"/>
          <w:szCs w:val="32"/>
        </w:rPr>
        <w:t>2.无条件退还已获得的全部违规补贴资金，并承担相应的资金损失；</w:t>
      </w:r>
    </w:p>
    <w:p w14:paraId="14B5777C">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left="420" w:leftChars="200" w:firstLine="640" w:firstLineChars="200"/>
        <w:jc w:val="both"/>
        <w:textAlignment w:val="auto"/>
        <w:rPr>
          <w:rFonts w:hint="eastAsia" w:ascii="仿宋_GB2312" w:hAnsi="宋体" w:eastAsia="仿宋_GB2312" w:cs="仿宋_GB2312"/>
          <w:b w:val="0"/>
          <w:bCs w:val="0"/>
          <w:color w:val="000000"/>
          <w:sz w:val="32"/>
          <w:szCs w:val="32"/>
          <w:lang w:eastAsia="zh-CN"/>
        </w:rPr>
      </w:pPr>
      <w:r>
        <w:rPr>
          <w:rFonts w:hint="eastAsia" w:ascii="仿宋_GB2312" w:hAnsi="宋体" w:eastAsia="仿宋_GB2312" w:cs="仿宋_GB2312"/>
          <w:b w:val="0"/>
          <w:bCs w:val="0"/>
          <w:color w:val="000000"/>
          <w:sz w:val="32"/>
          <w:szCs w:val="32"/>
        </w:rPr>
        <w:t>3.依法承担由此引发的纠纷处理责任及可能的法律责任</w:t>
      </w:r>
      <w:r>
        <w:rPr>
          <w:rFonts w:hint="eastAsia" w:ascii="仿宋_GB2312" w:hAnsi="宋体" w:eastAsia="仿宋_GB2312" w:cs="仿宋_GB2312"/>
          <w:b w:val="0"/>
          <w:bCs w:val="0"/>
          <w:color w:val="000000"/>
          <w:sz w:val="32"/>
          <w:szCs w:val="32"/>
          <w:lang w:eastAsia="zh-CN"/>
        </w:rPr>
        <w:t>；</w:t>
      </w:r>
    </w:p>
    <w:p w14:paraId="2FDDEACE">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left="420" w:leftChars="200" w:firstLine="640" w:firstLineChars="200"/>
        <w:jc w:val="both"/>
        <w:textAlignment w:val="auto"/>
        <w:rPr>
          <w:rFonts w:hint="eastAsia" w:ascii="仿宋_GB2312" w:hAnsi="宋体" w:eastAsia="仿宋_GB2312" w:cs="仿宋_GB2312"/>
          <w:b w:val="0"/>
          <w:bCs w:val="0"/>
          <w:color w:val="000000"/>
          <w:sz w:val="32"/>
          <w:szCs w:val="32"/>
        </w:rPr>
      </w:pPr>
      <w:r>
        <w:rPr>
          <w:rFonts w:hint="eastAsia" w:ascii="仿宋_GB2312" w:hAnsi="宋体" w:eastAsia="仿宋_GB2312" w:cs="仿宋_GB2312"/>
          <w:b w:val="0"/>
          <w:bCs w:val="0"/>
          <w:color w:val="000000"/>
          <w:sz w:val="32"/>
          <w:szCs w:val="32"/>
        </w:rPr>
        <w:t xml:space="preserve">4.接受将其违规行为纳入养老服务领域信用记录，并依法依规实施联合惩戒。 </w:t>
      </w:r>
    </w:p>
    <w:p w14:paraId="794B185F">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left="420" w:leftChars="200" w:firstLine="640" w:firstLineChars="200"/>
        <w:jc w:val="both"/>
        <w:textAlignment w:val="auto"/>
        <w:rPr>
          <w:rFonts w:hint="eastAsia" w:ascii="仿宋_GB2312" w:hAnsi="宋体" w:eastAsia="仿宋_GB2312" w:cs="仿宋_GB2312"/>
          <w:b w:val="0"/>
          <w:bCs w:val="0"/>
          <w:color w:val="000000"/>
          <w:sz w:val="32"/>
          <w:szCs w:val="32"/>
        </w:rPr>
      </w:pPr>
    </w:p>
    <w:p w14:paraId="27DB26AA">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left="420" w:leftChars="200" w:firstLine="640" w:firstLineChars="200"/>
        <w:jc w:val="both"/>
        <w:textAlignment w:val="auto"/>
        <w:rPr>
          <w:rFonts w:hint="eastAsia" w:ascii="仿宋_GB2312" w:hAnsi="宋体" w:eastAsia="仿宋_GB2312" w:cs="仿宋_GB2312"/>
          <w:b w:val="0"/>
          <w:bCs w:val="0"/>
          <w:color w:val="000000"/>
          <w:sz w:val="32"/>
          <w:szCs w:val="32"/>
        </w:rPr>
      </w:pPr>
      <w:r>
        <w:rPr>
          <w:rFonts w:hint="eastAsia" w:ascii="仿宋_GB2312" w:hAnsi="宋体" w:eastAsia="仿宋_GB2312" w:cs="仿宋_GB2312"/>
          <w:b w:val="0"/>
          <w:bCs w:val="0"/>
          <w:color w:val="000000"/>
          <w:sz w:val="32"/>
          <w:szCs w:val="32"/>
        </w:rPr>
        <w:t>特此承诺。</w:t>
      </w:r>
    </w:p>
    <w:p w14:paraId="07E6981D">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left="420" w:leftChars="200" w:firstLine="640" w:firstLineChars="200"/>
        <w:jc w:val="both"/>
        <w:textAlignment w:val="auto"/>
        <w:rPr>
          <w:rFonts w:hint="eastAsia" w:ascii="仿宋_GB2312" w:hAnsi="宋体" w:eastAsia="仿宋_GB2312" w:cs="仿宋_GB2312"/>
          <w:b w:val="0"/>
          <w:bCs w:val="0"/>
          <w:color w:val="000000"/>
          <w:sz w:val="32"/>
          <w:szCs w:val="32"/>
        </w:rPr>
      </w:pPr>
    </w:p>
    <w:p w14:paraId="3C204B52">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left="420" w:leftChars="200" w:firstLine="640" w:firstLineChars="200"/>
        <w:jc w:val="both"/>
        <w:textAlignment w:val="auto"/>
        <w:rPr>
          <w:rFonts w:hint="eastAsia" w:ascii="仿宋_GB2312" w:hAnsi="宋体" w:eastAsia="仿宋_GB2312" w:cs="仿宋_GB2312"/>
          <w:b w:val="0"/>
          <w:bCs w:val="0"/>
          <w:color w:val="000000"/>
          <w:sz w:val="32"/>
          <w:szCs w:val="32"/>
        </w:rPr>
      </w:pPr>
      <w:r>
        <w:rPr>
          <w:rFonts w:hint="eastAsia" w:ascii="仿宋_GB2312" w:hAnsi="宋体" w:eastAsia="仿宋_GB2312" w:cs="仿宋_GB2312"/>
          <w:b w:val="0"/>
          <w:bCs w:val="0"/>
          <w:color w:val="000000"/>
          <w:sz w:val="32"/>
          <w:szCs w:val="32"/>
        </w:rPr>
        <w:t xml:space="preserve">公章： </w:t>
      </w:r>
    </w:p>
    <w:p w14:paraId="7775AA7A">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left="420" w:leftChars="200" w:firstLine="640" w:firstLineChars="200"/>
        <w:jc w:val="both"/>
        <w:textAlignment w:val="auto"/>
        <w:rPr>
          <w:rFonts w:hint="eastAsia" w:ascii="仿宋_GB2312" w:hAnsi="宋体" w:eastAsia="仿宋_GB2312" w:cs="仿宋_GB2312"/>
          <w:b w:val="0"/>
          <w:bCs w:val="0"/>
          <w:color w:val="000000"/>
          <w:sz w:val="32"/>
          <w:szCs w:val="32"/>
        </w:rPr>
      </w:pPr>
    </w:p>
    <w:p w14:paraId="71F752A3">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left="420" w:leftChars="200" w:firstLine="640" w:firstLineChars="200"/>
        <w:jc w:val="both"/>
        <w:textAlignment w:val="auto"/>
        <w:rPr>
          <w:rFonts w:hint="eastAsia" w:ascii="仿宋_GB2312" w:hAnsi="宋体" w:eastAsia="仿宋_GB2312" w:cs="仿宋_GB2312"/>
          <w:b w:val="0"/>
          <w:bCs w:val="0"/>
          <w:color w:val="000000"/>
          <w:sz w:val="32"/>
          <w:szCs w:val="32"/>
        </w:rPr>
      </w:pPr>
      <w:r>
        <w:rPr>
          <w:rFonts w:hint="eastAsia" w:ascii="仿宋_GB2312" w:hAnsi="宋体" w:eastAsia="仿宋_GB2312" w:cs="仿宋_GB2312"/>
          <w:b w:val="0"/>
          <w:bCs w:val="0"/>
          <w:color w:val="000000"/>
          <w:sz w:val="32"/>
          <w:szCs w:val="32"/>
        </w:rPr>
        <w:t>法定代表人签章：</w:t>
      </w:r>
    </w:p>
    <w:p w14:paraId="32404EB0">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left="420" w:leftChars="200" w:firstLine="640" w:firstLineChars="200"/>
        <w:jc w:val="both"/>
        <w:textAlignment w:val="auto"/>
        <w:rPr>
          <w:rFonts w:hint="eastAsia" w:ascii="仿宋_GB2312" w:hAnsi="宋体" w:eastAsia="仿宋_GB2312" w:cs="仿宋_GB2312"/>
          <w:b w:val="0"/>
          <w:bCs w:val="0"/>
          <w:color w:val="000000"/>
          <w:sz w:val="32"/>
          <w:szCs w:val="32"/>
        </w:rPr>
      </w:pPr>
    </w:p>
    <w:p w14:paraId="29395726">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left="420" w:leftChars="200" w:firstLine="640" w:firstLineChars="200"/>
        <w:jc w:val="both"/>
        <w:textAlignment w:val="auto"/>
        <w:rPr>
          <w:rFonts w:hint="eastAsia" w:ascii="仿宋_GB2312" w:hAnsi="宋体" w:eastAsia="仿宋_GB2312" w:cs="仿宋_GB2312"/>
          <w:b w:val="0"/>
          <w:bCs w:val="0"/>
          <w:color w:val="000000"/>
          <w:sz w:val="32"/>
          <w:szCs w:val="32"/>
        </w:rPr>
      </w:pPr>
      <w:r>
        <w:rPr>
          <w:rFonts w:hint="eastAsia" w:ascii="仿宋_GB2312" w:hAnsi="宋体" w:eastAsia="仿宋_GB2312" w:cs="仿宋_GB2312"/>
          <w:b w:val="0"/>
          <w:bCs w:val="0"/>
          <w:color w:val="000000"/>
          <w:sz w:val="32"/>
          <w:szCs w:val="32"/>
        </w:rPr>
        <w:t xml:space="preserve"> </w:t>
      </w:r>
      <w:r>
        <w:rPr>
          <w:rFonts w:hint="eastAsia" w:ascii="仿宋_GB2312" w:hAnsi="宋体" w:eastAsia="仿宋_GB2312" w:cs="仿宋_GB2312"/>
          <w:b w:val="0"/>
          <w:bCs w:val="0"/>
          <w:color w:val="000000"/>
          <w:sz w:val="32"/>
          <w:szCs w:val="32"/>
          <w:lang w:val="en-US" w:eastAsia="zh-CN"/>
        </w:rPr>
        <w:t xml:space="preserve">                                </w:t>
      </w:r>
      <w:r>
        <w:rPr>
          <w:rFonts w:hint="eastAsia" w:ascii="仿宋_GB2312" w:hAnsi="宋体" w:eastAsia="仿宋_GB2312" w:cs="仿宋_GB2312"/>
          <w:b w:val="0"/>
          <w:bCs w:val="0"/>
          <w:color w:val="000000"/>
          <w:sz w:val="32"/>
          <w:szCs w:val="32"/>
        </w:rPr>
        <w:t>年</w:t>
      </w:r>
      <w:r>
        <w:rPr>
          <w:rFonts w:hint="eastAsia" w:ascii="仿宋_GB2312" w:hAnsi="宋体" w:eastAsia="仿宋_GB2312" w:cs="仿宋_GB2312"/>
          <w:b w:val="0"/>
          <w:bCs w:val="0"/>
          <w:color w:val="000000"/>
          <w:sz w:val="32"/>
          <w:szCs w:val="32"/>
          <w:lang w:val="en-US" w:eastAsia="zh-CN"/>
        </w:rPr>
        <w:t xml:space="preserve">  </w:t>
      </w:r>
      <w:r>
        <w:rPr>
          <w:rFonts w:hint="eastAsia" w:ascii="仿宋_GB2312" w:hAnsi="宋体" w:eastAsia="仿宋_GB2312" w:cs="仿宋_GB2312"/>
          <w:b w:val="0"/>
          <w:bCs w:val="0"/>
          <w:color w:val="000000"/>
          <w:sz w:val="32"/>
          <w:szCs w:val="32"/>
        </w:rPr>
        <w:t>月</w:t>
      </w:r>
      <w:r>
        <w:rPr>
          <w:rFonts w:hint="eastAsia" w:ascii="仿宋_GB2312" w:hAnsi="宋体" w:eastAsia="仿宋_GB2312" w:cs="仿宋_GB2312"/>
          <w:b w:val="0"/>
          <w:bCs w:val="0"/>
          <w:color w:val="000000"/>
          <w:sz w:val="32"/>
          <w:szCs w:val="32"/>
          <w:lang w:val="en-US" w:eastAsia="zh-CN"/>
        </w:rPr>
        <w:t xml:space="preserve">  </w:t>
      </w:r>
      <w:r>
        <w:rPr>
          <w:rFonts w:hint="eastAsia" w:ascii="仿宋_GB2312" w:hAnsi="宋体" w:eastAsia="仿宋_GB2312" w:cs="仿宋_GB2312"/>
          <w:b w:val="0"/>
          <w:bCs w:val="0"/>
          <w:color w:val="000000"/>
          <w:sz w:val="32"/>
          <w:szCs w:val="32"/>
        </w:rPr>
        <w:t>日</w:t>
      </w:r>
    </w:p>
    <w:p w14:paraId="31624E8A">
      <w:pPr>
        <w:pStyle w:val="8"/>
        <w:keepNext w:val="0"/>
        <w:keepLines w:val="0"/>
        <w:pageBreakBefore w:val="0"/>
        <w:widowControl w:val="0"/>
        <w:numPr>
          <w:ilvl w:val="0"/>
          <w:numId w:val="0"/>
        </w:numPr>
        <w:kinsoku/>
        <w:wordWrap/>
        <w:overflowPunct/>
        <w:topLinePunct w:val="0"/>
        <w:autoSpaceDE/>
        <w:autoSpaceDN/>
        <w:bidi w:val="0"/>
        <w:adjustRightInd/>
        <w:snapToGrid/>
        <w:spacing w:line="587" w:lineRule="exact"/>
        <w:ind w:left="420" w:leftChars="200" w:firstLine="640" w:firstLineChars="200"/>
        <w:jc w:val="both"/>
        <w:textAlignment w:val="auto"/>
        <w:rPr>
          <w:rFonts w:hint="eastAsia" w:ascii="仿宋_GB2312" w:hAnsi="宋体" w:eastAsia="仿宋_GB2312" w:cs="仿宋_GB2312"/>
          <w:b w:val="0"/>
          <w:bCs w:val="0"/>
          <w:color w:val="000000"/>
          <w:sz w:val="32"/>
          <w:szCs w:val="32"/>
          <w:lang w:val="en-US" w:eastAsia="zh-CN"/>
        </w:rPr>
      </w:pPr>
    </w:p>
    <w:sectPr>
      <w:pgSz w:w="11906" w:h="16838"/>
      <w:pgMar w:top="2098"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国标仿宋-GB/T 2312">
    <w:panose1 w:val="02000500000000000000"/>
    <w:charset w:val="86"/>
    <w:family w:val="auto"/>
    <w:pitch w:val="default"/>
    <w:sig w:usb0="800002AF" w:usb1="08476CF8" w:usb2="00000010" w:usb3="00000000" w:csb0="00040000" w:csb1="00000000"/>
  </w:font>
  <w:font w:name="国标宋体-超大字符集">
    <w:panose1 w:val="03000509000000000000"/>
    <w:charset w:val="86"/>
    <w:family w:val="auto"/>
    <w:pitch w:val="default"/>
    <w:sig w:usb0="00000001" w:usb1="08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国标楷体">
    <w:panose1 w:val="02000500000000000000"/>
    <w:charset w:val="86"/>
    <w:family w:val="auto"/>
    <w:pitch w:val="default"/>
    <w:sig w:usb0="00000001" w:usb1="08000000" w:usb2="00000000" w:usb3="00000000" w:csb0="00040000" w:csb1="00000000"/>
  </w:font>
  <w:font w:name="国标黑体-GB/T 2312">
    <w:panose1 w:val="020005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E20CD"/>
    <w:rsid w:val="04EA72A8"/>
    <w:rsid w:val="1FB73D06"/>
    <w:rsid w:val="2A1C2CB5"/>
    <w:rsid w:val="2F4E77CA"/>
    <w:rsid w:val="32A87455"/>
    <w:rsid w:val="3E886713"/>
    <w:rsid w:val="4B6E6C91"/>
    <w:rsid w:val="571F6A4D"/>
    <w:rsid w:val="61759D56"/>
    <w:rsid w:val="69A55B1C"/>
    <w:rsid w:val="6E8977BA"/>
    <w:rsid w:val="F2EFF909"/>
    <w:rsid w:val="FED80D5F"/>
    <w:rsid w:val="FF7FA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ind w:left="4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15</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2026-01-14T10:32:00Z</dcterms:created>
  <dc:creator>Administrator</dc:creator>
  <cp:lastModifiedBy>YC</cp:lastModifiedBy>
  <dcterms:modified xsi:type="dcterms:W3CDTF">2026-01-21T17:57:33Z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TemplateDocerSaveRecord">
    <vt:lpwstr>eyJoZGlkIjoiYTA5YmZkN2I0MjIzMzhkODk5MmQyZmU4MTIxYTc3MWIiLCJ1c2VySWQiOiIzMzY4NjcxMjUifQ==</vt:lpwstr>
  </property>
  <property fmtid="{D5CDD505-2E9C-101B-9397-08002B2CF9AE}" pid="4" name="ICV">
    <vt:lpwstr>CAA47608B53D43618D302F1B9C859EFC_12</vt:lpwstr>
  </property>
</Properties>
</file>