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53866">
      <w:pPr>
        <w:jc w:val="center"/>
        <w:rPr>
          <w:rFonts w:ascii="方正小标宋简体" w:eastAsia="方正小标宋简体"/>
          <w:sz w:val="44"/>
          <w:szCs w:val="44"/>
        </w:rPr>
      </w:pPr>
      <w:r>
        <w:rPr>
          <w:rFonts w:hint="eastAsia" w:ascii="方正小标宋简体" w:eastAsia="方正小标宋简体"/>
          <w:sz w:val="44"/>
          <w:szCs w:val="44"/>
        </w:rPr>
        <w:t>山丹县融媒体中心</w:t>
      </w:r>
    </w:p>
    <w:p w14:paraId="0C058BFB">
      <w:pPr>
        <w:jc w:val="center"/>
        <w:rPr>
          <w:rFonts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年项目支出绩效自评报告</w:t>
      </w:r>
    </w:p>
    <w:p w14:paraId="70594A93">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一、项目基本情况</w:t>
      </w:r>
    </w:p>
    <w:p w14:paraId="4DB34EE2">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r>
        <w:rPr>
          <w:rFonts w:ascii="仿宋_GB2312" w:hAnsi="楷体" w:eastAsia="仿宋_GB2312"/>
          <w:b/>
          <w:sz w:val="32"/>
          <w:szCs w:val="32"/>
        </w:rPr>
        <w:t xml:space="preserve"> </w:t>
      </w:r>
    </w:p>
    <w:p w14:paraId="7B37FDF0">
      <w:pPr>
        <w:snapToGrid w:val="0"/>
        <w:spacing w:line="5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年度，县财政共下达融媒体中心建设资金</w:t>
      </w:r>
      <w:bookmarkStart w:id="0" w:name="_Hlk94023036"/>
      <w:r>
        <w:rPr>
          <w:rFonts w:hint="eastAsia" w:ascii="仿宋_GB2312" w:eastAsia="仿宋_GB2312"/>
          <w:sz w:val="32"/>
          <w:szCs w:val="32"/>
          <w:lang w:val="en-US" w:eastAsia="zh-CN"/>
        </w:rPr>
        <w:t>37.6</w:t>
      </w:r>
      <w:r>
        <w:rPr>
          <w:rFonts w:hint="eastAsia" w:ascii="仿宋_GB2312" w:hAnsi="仿宋_GB2312" w:eastAsia="仿宋_GB2312" w:cs="仿宋_GB2312"/>
          <w:sz w:val="32"/>
          <w:szCs w:val="32"/>
        </w:rPr>
        <w:t>万元</w:t>
      </w:r>
      <w:bookmarkEnd w:id="0"/>
      <w:r>
        <w:rPr>
          <w:rFonts w:hint="eastAsia" w:ascii="仿宋_GB2312" w:hAnsi="仿宋_GB2312" w:eastAsia="仿宋_GB2312" w:cs="仿宋_GB2312"/>
          <w:sz w:val="32"/>
          <w:szCs w:val="32"/>
        </w:rPr>
        <w:t>，用于支付移动公司剩余设备采购</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w:t>
      </w:r>
    </w:p>
    <w:p w14:paraId="1B0A1641">
      <w:pPr>
        <w:pStyle w:val="5"/>
        <w:spacing w:beforeAutospacing="0" w:afterAutospacing="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根据《山丹县财政局关于开展202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绩效考核工作的通知》要求，我单位立刻开展了项目支出绩效自评，对项目立项依据、批复、建设内容、项目类型、实施周期、项目实施等资金管理和使用进行了严格监督和跟进。在项目资金的使用过程中，严格督促检查，确保项目资金专款专用。</w:t>
      </w:r>
    </w:p>
    <w:p w14:paraId="7EFE2641">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14:paraId="2F0FE84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.融媒体中心建设资金</w:t>
      </w:r>
      <w:r>
        <w:rPr>
          <w:rFonts w:hint="eastAsia" w:ascii="仿宋_GB2312" w:hAnsi="仿宋_GB2312" w:eastAsia="仿宋_GB2312" w:cs="仿宋_GB2312"/>
          <w:sz w:val="32"/>
          <w:szCs w:val="32"/>
        </w:rPr>
        <w:t>：</w:t>
      </w:r>
      <w:bookmarkStart w:id="5" w:name="_GoBack"/>
      <w:bookmarkEnd w:id="5"/>
    </w:p>
    <w:p w14:paraId="70731FB4">
      <w:pPr>
        <w:pStyle w:val="2"/>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坚持正确的舆论导向，围绕县委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政府中心开展工作，以“提质创新”为目标，加大新闻宣传影响力和公信力。整合媒体资源，使融媒体从相加向相融发展，实现传播力、引导力、影响力、公信力大幅提升。</w:t>
      </w:r>
    </w:p>
    <w:p w14:paraId="5EC0C885">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）项目实施经济效益</w:t>
      </w:r>
    </w:p>
    <w:p w14:paraId="292DA4CA">
      <w:pPr>
        <w:pStyle w:val="2"/>
        <w:ind w:firstLine="640" w:firstLineChars="200"/>
        <w:jc w:val="both"/>
        <w:rPr>
          <w:rFonts w:ascii="仿宋_GB2312" w:hAnsi="仿宋_GB2312" w:eastAsia="仿宋_GB2312" w:cs="仿宋_GB2312"/>
          <w:sz w:val="32"/>
          <w:szCs w:val="32"/>
        </w:rPr>
      </w:pPr>
      <w:bookmarkStart w:id="1" w:name="_Hlk94081474"/>
      <w:r>
        <w:rPr>
          <w:rFonts w:hint="eastAsia" w:ascii="仿宋_GB2312" w:hAnsi="仿宋_GB2312" w:eastAsia="仿宋_GB2312" w:cs="仿宋_GB2312"/>
          <w:sz w:val="32"/>
          <w:szCs w:val="32"/>
        </w:rPr>
        <w:t>协调全县各类媒体平台的互联互通，开发运用各类新兴媒体平台，提高新闻产品质量同时，加强和改进基层宣传思想工作，把基层百姓所需所盼与党委政府积极作为对接起来，把服务延伸到基层、问题解决在基层，切实推动基层宣传思想工作强起来。</w:t>
      </w:r>
    </w:p>
    <w:bookmarkEnd w:id="1"/>
    <w:p w14:paraId="1E07B4D4">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（2）项目实施的社会效益</w:t>
      </w:r>
    </w:p>
    <w:p w14:paraId="78A264F5">
      <w:pPr>
        <w:pStyle w:val="10"/>
        <w:spacing w:line="600" w:lineRule="exact"/>
        <w:ind w:firstLine="640" w:firstLineChars="200"/>
        <w:rPr>
          <w:rFonts w:ascii="仿宋_GB2312" w:hAnsi="仿宋_GB2312" w:eastAsia="仿宋_GB2312" w:cs="仿宋_GB2312"/>
          <w:sz w:val="32"/>
          <w:szCs w:val="32"/>
        </w:rPr>
      </w:pPr>
      <w:bookmarkStart w:id="2" w:name="_Hlk94078822"/>
      <w:bookmarkStart w:id="3" w:name="_Hlk94081611"/>
      <w:r>
        <w:rPr>
          <w:rFonts w:hint="eastAsia" w:ascii="仿宋_GB2312" w:hAnsi="仿宋_GB2312" w:eastAsia="仿宋_GB2312" w:cs="仿宋_GB2312"/>
          <w:sz w:val="32"/>
          <w:szCs w:val="32"/>
        </w:rPr>
        <w:t>融媒体中心建设资金项目</w:t>
      </w:r>
      <w:bookmarkEnd w:id="2"/>
      <w:r>
        <w:rPr>
          <w:rFonts w:hint="eastAsia" w:ascii="仿宋_GB2312" w:hAnsi="仿宋_GB2312" w:eastAsia="仿宋_GB2312" w:cs="仿宋_GB2312"/>
          <w:sz w:val="32"/>
          <w:szCs w:val="32"/>
        </w:rPr>
        <w:t>主要是通过支付移动公司设备采购欠款，进一步加快传统媒体和新媒体的融合发展。</w:t>
      </w:r>
    </w:p>
    <w:bookmarkEnd w:id="3"/>
    <w:p w14:paraId="0174D9A6">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（3）项目实施的环境效益</w:t>
      </w:r>
    </w:p>
    <w:p w14:paraId="06C09C4E">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融媒体中心</w:t>
      </w:r>
      <w:r>
        <w:rPr>
          <w:rFonts w:hint="eastAsia" w:ascii="仿宋_GB2312" w:hAnsi="仿宋_GB2312" w:eastAsia="仿宋_GB2312" w:cs="仿宋_GB2312"/>
          <w:sz w:val="32"/>
          <w:szCs w:val="32"/>
          <w:lang w:val="en-US" w:eastAsia="zh-CN"/>
        </w:rPr>
        <w:t>建设资金</w:t>
      </w:r>
      <w:r>
        <w:rPr>
          <w:rFonts w:hint="eastAsia" w:ascii="仿宋_GB2312" w:hAnsi="仿宋_GB2312" w:eastAsia="仿宋_GB2312" w:cs="仿宋_GB2312"/>
          <w:sz w:val="32"/>
          <w:szCs w:val="32"/>
        </w:rPr>
        <w:t>项目能全部满足生态建设要求。</w:t>
      </w:r>
    </w:p>
    <w:p w14:paraId="7191DAE5">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（4）项目实施的</w:t>
      </w:r>
      <w:bookmarkStart w:id="4" w:name="_Hlk94082089"/>
      <w:r>
        <w:rPr>
          <w:rFonts w:hint="eastAsia" w:ascii="仿宋_GB2312" w:hAnsi="仿宋_GB2312" w:eastAsia="仿宋_GB2312" w:cs="仿宋_GB2312"/>
          <w:sz w:val="32"/>
          <w:szCs w:val="32"/>
        </w:rPr>
        <w:t>可持续影响</w:t>
      </w:r>
      <w:bookmarkEnd w:id="4"/>
    </w:p>
    <w:p w14:paraId="01250FD0">
      <w:pPr>
        <w:autoSpaceDE w:val="0"/>
        <w:autoSpaceDN w:val="0"/>
        <w:adjustRightInd w:val="0"/>
        <w:spacing w:line="640" w:lineRule="exact"/>
        <w:ind w:firstLine="480" w:firstLineChars="15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通过实施融媒体中心</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资金项目，更好的引导群众、服务群众，立足传统媒体，借力新兴媒体，实现全媒体融合发展，满足了人民群众的文化需求。</w:t>
      </w:r>
    </w:p>
    <w:p w14:paraId="59A22A58">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）满意度目标情况</w:t>
      </w:r>
    </w:p>
    <w:p w14:paraId="2E152776">
      <w:pPr>
        <w:tabs>
          <w:tab w:val="left" w:pos="793"/>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公众满意度为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w:t>
      </w:r>
    </w:p>
    <w:p w14:paraId="5EC6B5CD">
      <w:pPr>
        <w:spacing w:line="64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二、项目资金情况</w:t>
      </w:r>
    </w:p>
    <w:p w14:paraId="3A75031B">
      <w:pPr>
        <w:spacing w:line="640" w:lineRule="exact"/>
        <w:ind w:firstLine="640" w:firstLineChars="200"/>
        <w:rPr>
          <w:rFonts w:asci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 通过实施融媒体中心建设资金项目，根据县级资金批复，202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年下达</w:t>
      </w: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万元资金全部到位。</w:t>
      </w:r>
    </w:p>
    <w:p w14:paraId="7C7CB6EE">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2.项目资金支出使用情况</w:t>
      </w:r>
    </w:p>
    <w:p w14:paraId="4A09D43F">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资金的申请和拨付严格执行规定程序，融媒体中心建设资金</w:t>
      </w: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万元，用于支付移动公司设备购置费欠款，我单位根据县财政部门的要求，明确资金使用范围、使用标准及拨付流程，较好地保证了财务信息的真实性、及时性和完整性，没有资金挤占挪用情况。</w:t>
      </w:r>
    </w:p>
    <w:p w14:paraId="62C1B9D1">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三、绩效目标完成情况及效益分析</w:t>
      </w:r>
    </w:p>
    <w:p w14:paraId="68FC007F">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经济效益分析</w:t>
      </w:r>
    </w:p>
    <w:p w14:paraId="69D30A15">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融媒体中心建设资金项目实施，加快了县级融媒体中心建设，推动了传统媒体、新媒体在内容、渠道、平台、管理、技术、人才等方面的融合共享。从而以更多更好的内容和服务来满足人民群众日益增长的精神文化生活需求，促进县域经济、文化发展。</w:t>
      </w:r>
    </w:p>
    <w:p w14:paraId="36D92F5C">
      <w:pPr>
        <w:shd w:val="clear" w:color="auto" w:fill="FFFFFF"/>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社会效益分析</w:t>
      </w:r>
    </w:p>
    <w:p w14:paraId="224F31D3">
      <w:pPr>
        <w:pStyle w:val="2"/>
        <w:ind w:firstLine="640" w:firstLineChars="200"/>
        <w:jc w:val="left"/>
        <w:rPr>
          <w:rFonts w:hint="eastAsia" w:ascii="仿宋_GB2312" w:hAnsi="仿宋_GB2312" w:eastAsia="仿宋_GB2312" w:cs="仿宋_GB2312"/>
          <w:kern w:val="2"/>
          <w:sz w:val="32"/>
          <w:szCs w:val="32"/>
          <w:lang w:val="en-US" w:eastAsia="zh-CN" w:bidi="ar-SA"/>
        </w:rPr>
      </w:pPr>
      <w:r>
        <w:rPr>
          <w:rFonts w:ascii="仿宋_GB2312" w:hAnsi="仿宋_GB2312" w:eastAsia="仿宋_GB2312" w:cs="仿宋_GB2312"/>
          <w:sz w:val="32"/>
          <w:szCs w:val="32"/>
        </w:rPr>
        <w:t>融媒体中心的建成投入使用，</w:t>
      </w:r>
      <w:r>
        <w:rPr>
          <w:rFonts w:hint="eastAsia" w:ascii="仿宋_GB2312" w:hAnsi="仿宋_GB2312" w:eastAsia="仿宋_GB2312" w:cs="仿宋_GB2312"/>
          <w:kern w:val="2"/>
          <w:sz w:val="32"/>
          <w:szCs w:val="32"/>
          <w:lang w:val="en-US" w:eastAsia="zh-CN" w:bidi="ar-SA"/>
        </w:rPr>
        <w:t>实现了传统媒体与新型媒体的资源整合、理念融合、管理对接，建立了“新媒体首发、全媒体跟进、融媒体传播”的立体传播格局，</w:t>
      </w:r>
      <w:r>
        <w:rPr>
          <w:rFonts w:ascii="仿宋_GB2312" w:hAnsi="仿宋_GB2312" w:eastAsia="仿宋_GB2312" w:cs="仿宋_GB2312"/>
          <w:sz w:val="32"/>
          <w:szCs w:val="32"/>
        </w:rPr>
        <w:t>大大增强了媒体的辐射力、传播力、引导力和公信力，提高了广大人民群众生活品质和幸福指数。</w:t>
      </w:r>
      <w:r>
        <w:rPr>
          <w:rFonts w:hint="eastAsia" w:ascii="仿宋_GB2312" w:hAnsi="仿宋_GB2312" w:eastAsia="仿宋_GB2312" w:cs="仿宋_GB2312"/>
          <w:sz w:val="32"/>
          <w:szCs w:val="32"/>
          <w:lang w:val="en-US" w:eastAsia="zh-CN"/>
        </w:rPr>
        <w:t>。</w:t>
      </w:r>
    </w:p>
    <w:p w14:paraId="056AF7E3">
      <w:pPr>
        <w:shd w:val="clear" w:color="auto" w:fill="FFFFFF"/>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生态效益分析</w:t>
      </w:r>
    </w:p>
    <w:p w14:paraId="6A3B9E25">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通过融媒体中心建设资金项目实施，全部满足群众信息化需求。</w:t>
      </w:r>
    </w:p>
    <w:p w14:paraId="29179AEC">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可持续影响及社会公众分析</w:t>
      </w:r>
    </w:p>
    <w:p w14:paraId="1D368D0B">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融媒体通过创新内容生产方式，构建集策划、采集、编辑、发布、追踪、互评流程的多渠道全域宣传平台，形成一次采集、多元生成、多渠道传播的工作平台，实现移动优先、移动直播、广播互动、新媒体报道、电视跟进、网站补短、纸媒深度、平媒充实的无缝覆盖。</w:t>
      </w:r>
    </w:p>
    <w:p w14:paraId="582F8F9C">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服务对象满意度分析</w:t>
      </w:r>
    </w:p>
    <w:p w14:paraId="04C4FF18">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通过实施该项目，群众对信息化服务满意度</w:t>
      </w:r>
      <w:r>
        <w:rPr>
          <w:rFonts w:hint="eastAsia" w:ascii="仿宋_GB2312" w:hAnsi="仿宋_GB2312" w:eastAsia="仿宋_GB2312" w:cs="仿宋_GB2312"/>
          <w:sz w:val="32"/>
          <w:szCs w:val="32"/>
          <w:lang w:val="en-US" w:eastAsia="zh-CN"/>
        </w:rPr>
        <w:t>90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14:paraId="282634E4">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四、自评结论</w:t>
      </w:r>
    </w:p>
    <w:p w14:paraId="5AAF9B3B">
      <w:pPr>
        <w:pStyle w:val="10"/>
        <w:spacing w:line="600" w:lineRule="exact"/>
        <w:ind w:firstLine="640" w:firstLineChars="200"/>
        <w:rPr>
          <w:rFonts w:ascii="楷体_GB2312" w:hAnsi="仿宋" w:eastAsia="楷体_GB2312" w:cs="Times New Roman"/>
          <w:b/>
          <w:sz w:val="32"/>
          <w:szCs w:val="32"/>
        </w:rPr>
      </w:pPr>
      <w:r>
        <w:rPr>
          <w:rFonts w:hint="eastAsia" w:ascii="仿宋_GB2312" w:hAnsi="仿宋_GB2312" w:eastAsia="仿宋_GB2312" w:cs="仿宋_GB2312"/>
          <w:sz w:val="32"/>
          <w:szCs w:val="32"/>
        </w:rPr>
        <w:t>按照“移动优先”和“一地一端”原则，依托省级技术平台，</w:t>
      </w:r>
      <w:r>
        <w:rPr>
          <w:rFonts w:hint="eastAsia" w:ascii="仿宋_GB2312" w:hAnsi="仿宋" w:eastAsia="仿宋_GB2312" w:cs="Times New Roman"/>
          <w:sz w:val="32"/>
          <w:szCs w:val="32"/>
        </w:rPr>
        <w:t>新山丹APP共发布稿件</w:t>
      </w:r>
      <w:r>
        <w:rPr>
          <w:rFonts w:ascii="仿宋_GB2312" w:hAnsi="仿宋" w:eastAsia="仿宋_GB2312" w:cs="Times New Roman"/>
          <w:sz w:val="32"/>
          <w:szCs w:val="32"/>
        </w:rPr>
        <w:t>及融媒体产品</w:t>
      </w:r>
      <w:r>
        <w:rPr>
          <w:rFonts w:hint="eastAsia" w:ascii="仿宋_GB2312" w:hAnsi="仿宋" w:eastAsia="仿宋_GB2312" w:cs="Times New Roman"/>
          <w:sz w:val="32"/>
          <w:szCs w:val="32"/>
        </w:rPr>
        <w:t>6.8万篇，阅读量达500多万</w:t>
      </w:r>
      <w:r>
        <w:rPr>
          <w:rFonts w:ascii="仿宋_GB2312" w:hAnsi="仿宋" w:eastAsia="仿宋_GB2312" w:cs="Times New Roman"/>
          <w:sz w:val="32"/>
          <w:szCs w:val="32"/>
        </w:rPr>
        <w:t>次</w:t>
      </w:r>
      <w:r>
        <w:rPr>
          <w:rFonts w:hint="eastAsia" w:ascii="仿宋_GB2312" w:hAnsi="仿宋" w:eastAsia="仿宋_GB2312" w:cs="Times New Roman"/>
          <w:sz w:val="32"/>
          <w:szCs w:val="32"/>
        </w:rPr>
        <w:t>，分享10万多次，留言评论4万多条，下载用户4.3万人</w:t>
      </w:r>
      <w:r>
        <w:rPr>
          <w:rFonts w:hint="eastAsia" w:ascii="仿宋_GB2312" w:eastAsia="仿宋_GB2312"/>
          <w:sz w:val="32"/>
          <w:szCs w:val="32"/>
        </w:rPr>
        <w:t>次</w:t>
      </w:r>
      <w:r>
        <w:rPr>
          <w:rFonts w:ascii="仿宋_GB2312" w:eastAsia="仿宋_GB2312"/>
          <w:sz w:val="32"/>
          <w:szCs w:val="32"/>
        </w:rPr>
        <w:t>；</w:t>
      </w:r>
      <w:r>
        <w:rPr>
          <w:rFonts w:hint="eastAsia" w:ascii="仿宋_GB2312" w:eastAsia="仿宋_GB2312"/>
          <w:sz w:val="32"/>
          <w:szCs w:val="32"/>
        </w:rPr>
        <w:t>快手账号“丝路话语”粉丝突破120万，获评</w:t>
      </w:r>
      <w:r>
        <w:rPr>
          <w:rFonts w:hint="eastAsia" w:ascii="仿宋_GB2312" w:hAnsi="仿宋_GB2312" w:eastAsia="仿宋_GB2312" w:cs="仿宋_GB2312"/>
          <w:sz w:val="32"/>
          <w:szCs w:val="32"/>
        </w:rPr>
        <w:t>“全省文明账号”，发布短视频8600多条，点赞1500多万，播放量超8亿次；今日山丹、山丹发布微信公众号用户关注数9.3万人次，共发布稿件15000多篇，浏览量620多万次；抖音账号“丝路话语”粉丝突破257万，发布短视频13000多</w:t>
      </w:r>
      <w:r>
        <w:rPr>
          <w:rFonts w:hint="eastAsia" w:ascii="仿宋_GB2312" w:eastAsia="仿宋_GB2312"/>
          <w:sz w:val="32"/>
          <w:szCs w:val="32"/>
        </w:rPr>
        <w:t>条，点赞5700多万，播放量超12亿次。</w:t>
      </w:r>
      <w:r>
        <w:rPr>
          <w:rFonts w:hint="eastAsia" w:ascii="仿宋_GB2312" w:hAnsi="仿宋_GB2312" w:eastAsia="仿宋_GB2312" w:cs="仿宋_GB2312"/>
          <w:sz w:val="32"/>
          <w:szCs w:val="32"/>
        </w:rPr>
        <w:t>通过融媒体中心建设资金项目总体评分为 9</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14:paraId="647696D9">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五、存在的问题</w:t>
      </w:r>
    </w:p>
    <w:p w14:paraId="1A802FC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县融媒体中心虽然在全省县级融媒体中心建设中取得了一些成绩，但离形势发展的需要和上级部门的要求，以及群众的期盼我们还存在很大的差距和不足</w:t>
      </w:r>
      <w:r>
        <w:rPr>
          <w:rFonts w:ascii="仿宋_GB2312" w:hAnsi="仿宋_GB2312" w:eastAsia="仿宋_GB2312" w:cs="仿宋_GB2312"/>
          <w:sz w:val="32"/>
          <w:szCs w:val="32"/>
        </w:rPr>
        <w:t>，特别是全省各县区融媒体中心已逐步适应新形势下的融媒体发展趋势，后发优势日渐明显。受历史遗留问题、人员、经费、体制机制等多方面的因素制约，我们正在失去先发优势，全省县级融媒体传播力榜单中的总榜和六个子榜单位次总体呈下降趋势。</w:t>
      </w:r>
    </w:p>
    <w:p w14:paraId="1EFD9D0B">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六、下一步改进工作的措施</w:t>
      </w:r>
    </w:p>
    <w:p w14:paraId="3EB9E245">
      <w:pPr>
        <w:pStyle w:val="2"/>
        <w:ind w:firstLine="640" w:firstLineChars="200"/>
        <w:jc w:val="both"/>
      </w:pPr>
      <w:r>
        <w:rPr>
          <w:rFonts w:hint="eastAsia" w:ascii="仿宋_GB2312" w:hAnsi="仿宋_GB2312" w:eastAsia="仿宋_GB2312" w:cs="仿宋_GB2312"/>
          <w:sz w:val="32"/>
          <w:szCs w:val="32"/>
        </w:rPr>
        <w:t>以用户为中心，提高服务群众能力。不断提升“七大平台”综合传播实力，加强传播手段和表现形式创新，加大融媒产品开发力度，优化自办栏目，加强《山丹新闻》采编能力，推出一批接地气、带露珠、冒热气，群众喜闻乐见、入脑入心的融媒体产品，为县域经济高质量发展作出更大的贡献！</w:t>
      </w:r>
    </w:p>
    <w:p w14:paraId="5DAB6B8B">
      <w:pPr>
        <w:spacing w:line="580" w:lineRule="exact"/>
        <w:ind w:firstLine="640" w:firstLineChars="200"/>
        <w:rPr>
          <w:rFonts w:ascii="黑体" w:hAnsi="黑体" w:eastAsia="黑体"/>
          <w:sz w:val="32"/>
          <w:szCs w:val="32"/>
        </w:rPr>
      </w:pPr>
    </w:p>
    <w:p w14:paraId="136983E3">
      <w:pPr>
        <w:spacing w:line="580" w:lineRule="exact"/>
        <w:ind w:firstLine="640" w:firstLineChars="200"/>
        <w:rPr>
          <w:rFonts w:ascii="黑体" w:hAnsi="黑体" w:eastAsia="黑体"/>
          <w:sz w:val="32"/>
          <w:szCs w:val="32"/>
        </w:rPr>
      </w:pPr>
    </w:p>
    <w:p w14:paraId="548AC94B">
      <w:pPr>
        <w:spacing w:line="570" w:lineRule="exact"/>
        <w:ind w:firstLine="4800" w:firstLineChars="1500"/>
        <w:rPr>
          <w:rFonts w:hint="eastAsia" w:ascii="仿宋_GB2312" w:hAnsi="宋体" w:eastAsia="仿宋_GB2312" w:cs="楷体"/>
          <w:sz w:val="32"/>
          <w:szCs w:val="32"/>
        </w:rPr>
      </w:pPr>
      <w:r>
        <w:rPr>
          <w:rFonts w:hint="eastAsia" w:ascii="仿宋_GB2312" w:hAnsi="宋体" w:eastAsia="仿宋_GB2312" w:cs="楷体"/>
          <w:sz w:val="32"/>
          <w:szCs w:val="32"/>
        </w:rPr>
        <w:t>山丹县融媒体中心</w:t>
      </w:r>
    </w:p>
    <w:p w14:paraId="68619A40">
      <w:pPr>
        <w:spacing w:line="570" w:lineRule="exact"/>
        <w:ind w:firstLine="4800" w:firstLineChars="1500"/>
        <w:rPr>
          <w:rFonts w:ascii="仿宋_GB2312" w:hAnsi="宋体" w:eastAsia="仿宋_GB2312" w:cs="楷体"/>
          <w:sz w:val="32"/>
          <w:szCs w:val="32"/>
        </w:rPr>
      </w:pPr>
      <w:r>
        <w:rPr>
          <w:rFonts w:ascii="仿宋_GB2312" w:hAnsi="宋体" w:eastAsia="仿宋_GB2312" w:cs="楷体"/>
          <w:sz w:val="32"/>
          <w:szCs w:val="32"/>
        </w:rPr>
        <w:t>202</w:t>
      </w:r>
      <w:r>
        <w:rPr>
          <w:rFonts w:hint="eastAsia" w:ascii="仿宋_GB2312" w:hAnsi="宋体" w:eastAsia="仿宋_GB2312" w:cs="楷体"/>
          <w:sz w:val="32"/>
          <w:szCs w:val="32"/>
          <w:lang w:val="en-US" w:eastAsia="zh-CN"/>
        </w:rPr>
        <w:t>3</w:t>
      </w:r>
      <w:r>
        <w:rPr>
          <w:rFonts w:ascii="仿宋_GB2312" w:hAnsi="宋体" w:eastAsia="仿宋_GB2312" w:cs="楷体"/>
          <w:sz w:val="32"/>
          <w:szCs w:val="32"/>
        </w:rPr>
        <w:t>年1</w:t>
      </w:r>
      <w:r>
        <w:rPr>
          <w:rFonts w:hint="eastAsia" w:ascii="仿宋_GB2312" w:hAnsi="宋体" w:eastAsia="仿宋_GB2312" w:cs="楷体"/>
          <w:sz w:val="32"/>
          <w:szCs w:val="32"/>
        </w:rPr>
        <w:t>2</w:t>
      </w:r>
      <w:r>
        <w:rPr>
          <w:rFonts w:ascii="仿宋_GB2312" w:hAnsi="宋体" w:eastAsia="仿宋_GB2312" w:cs="楷体"/>
          <w:sz w:val="32"/>
          <w:szCs w:val="32"/>
        </w:rPr>
        <w:t>月</w:t>
      </w:r>
      <w:r>
        <w:rPr>
          <w:rFonts w:hint="eastAsia" w:ascii="仿宋_GB2312" w:hAnsi="宋体" w:eastAsia="仿宋_GB2312" w:cs="楷体"/>
          <w:sz w:val="32"/>
          <w:szCs w:val="32"/>
          <w:lang w:val="en-US" w:eastAsia="zh-CN"/>
        </w:rPr>
        <w:t>25</w:t>
      </w:r>
      <w:r>
        <w:rPr>
          <w:rFonts w:ascii="仿宋_GB2312" w:hAnsi="宋体" w:eastAsia="仿宋_GB2312" w:cs="楷体"/>
          <w:sz w:val="32"/>
          <w:szCs w:val="32"/>
        </w:rPr>
        <w:t>日</w:t>
      </w:r>
    </w:p>
    <w:p w14:paraId="043FEBCA">
      <w:pPr>
        <w:spacing w:line="600" w:lineRule="exact"/>
        <w:ind w:firstLine="420" w:firstLineChars="200"/>
      </w:pPr>
    </w:p>
    <w:p w14:paraId="1B54E4B2">
      <w:pPr>
        <w:spacing w:line="600" w:lineRule="exact"/>
        <w:ind w:firstLine="420" w:firstLineChars="200"/>
      </w:pPr>
    </w:p>
    <w:p w14:paraId="6C266A5F">
      <w:pPr>
        <w:spacing w:line="600" w:lineRule="exact"/>
        <w:ind w:firstLine="420" w:firstLineChars="200"/>
      </w:pPr>
    </w:p>
    <w:p w14:paraId="50186C41">
      <w:pPr>
        <w:spacing w:line="600" w:lineRule="exact"/>
        <w:ind w:firstLine="420" w:firstLineChars="200"/>
      </w:pPr>
    </w:p>
    <w:p w14:paraId="25C0A6E2">
      <w:pPr>
        <w:spacing w:line="600" w:lineRule="exact"/>
        <w:ind w:firstLine="420" w:firstLineChars="200"/>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NiYzkxNWRjMjkyNzBjNzRjZjQ3YTJmNDZjMzk1ZTgifQ=="/>
  </w:docVars>
  <w:rsids>
    <w:rsidRoot w:val="0ECA2393"/>
    <w:rsid w:val="00005FA9"/>
    <w:rsid w:val="0001489F"/>
    <w:rsid w:val="0001600C"/>
    <w:rsid w:val="00055413"/>
    <w:rsid w:val="0009280B"/>
    <w:rsid w:val="000936AD"/>
    <w:rsid w:val="000A7557"/>
    <w:rsid w:val="000B29BA"/>
    <w:rsid w:val="000C090A"/>
    <w:rsid w:val="000D30E6"/>
    <w:rsid w:val="000F0D99"/>
    <w:rsid w:val="000F6C11"/>
    <w:rsid w:val="00166D59"/>
    <w:rsid w:val="00207C53"/>
    <w:rsid w:val="002114C3"/>
    <w:rsid w:val="00237B6C"/>
    <w:rsid w:val="00255916"/>
    <w:rsid w:val="00260988"/>
    <w:rsid w:val="002826FC"/>
    <w:rsid w:val="00286CA1"/>
    <w:rsid w:val="002C691B"/>
    <w:rsid w:val="00344426"/>
    <w:rsid w:val="003720C5"/>
    <w:rsid w:val="003C6F23"/>
    <w:rsid w:val="00411529"/>
    <w:rsid w:val="00481F21"/>
    <w:rsid w:val="004A2A16"/>
    <w:rsid w:val="00530E72"/>
    <w:rsid w:val="005516D9"/>
    <w:rsid w:val="005620FB"/>
    <w:rsid w:val="005A52C2"/>
    <w:rsid w:val="00606FBB"/>
    <w:rsid w:val="00610D90"/>
    <w:rsid w:val="006566EA"/>
    <w:rsid w:val="00670D46"/>
    <w:rsid w:val="006803FF"/>
    <w:rsid w:val="00692932"/>
    <w:rsid w:val="006C7440"/>
    <w:rsid w:val="00707B06"/>
    <w:rsid w:val="00717940"/>
    <w:rsid w:val="00731B1D"/>
    <w:rsid w:val="007440EC"/>
    <w:rsid w:val="00774A72"/>
    <w:rsid w:val="0079320A"/>
    <w:rsid w:val="007A3095"/>
    <w:rsid w:val="007B2162"/>
    <w:rsid w:val="00810656"/>
    <w:rsid w:val="00845E9F"/>
    <w:rsid w:val="00854E14"/>
    <w:rsid w:val="008736CF"/>
    <w:rsid w:val="008C120E"/>
    <w:rsid w:val="008C12AC"/>
    <w:rsid w:val="00947FB5"/>
    <w:rsid w:val="00985D48"/>
    <w:rsid w:val="009879AD"/>
    <w:rsid w:val="00992EAE"/>
    <w:rsid w:val="009B460C"/>
    <w:rsid w:val="009B61A6"/>
    <w:rsid w:val="009F449D"/>
    <w:rsid w:val="00A00027"/>
    <w:rsid w:val="00A0113A"/>
    <w:rsid w:val="00A01D3E"/>
    <w:rsid w:val="00A179DC"/>
    <w:rsid w:val="00A23378"/>
    <w:rsid w:val="00A34770"/>
    <w:rsid w:val="00A373A8"/>
    <w:rsid w:val="00A92337"/>
    <w:rsid w:val="00AA33AA"/>
    <w:rsid w:val="00AB6EF1"/>
    <w:rsid w:val="00AB713D"/>
    <w:rsid w:val="00AC056A"/>
    <w:rsid w:val="00B4239C"/>
    <w:rsid w:val="00B81339"/>
    <w:rsid w:val="00B8298D"/>
    <w:rsid w:val="00BB13C0"/>
    <w:rsid w:val="00BC2D62"/>
    <w:rsid w:val="00C02852"/>
    <w:rsid w:val="00C0322A"/>
    <w:rsid w:val="00C07EC9"/>
    <w:rsid w:val="00C148AF"/>
    <w:rsid w:val="00C73357"/>
    <w:rsid w:val="00CC1FE4"/>
    <w:rsid w:val="00CD43E1"/>
    <w:rsid w:val="00D64291"/>
    <w:rsid w:val="00DB734B"/>
    <w:rsid w:val="00DC24FB"/>
    <w:rsid w:val="00DD6F0E"/>
    <w:rsid w:val="00DE735A"/>
    <w:rsid w:val="00E00D21"/>
    <w:rsid w:val="00E01F1C"/>
    <w:rsid w:val="00E04BD2"/>
    <w:rsid w:val="00E1666A"/>
    <w:rsid w:val="00E62268"/>
    <w:rsid w:val="00E72506"/>
    <w:rsid w:val="00E84386"/>
    <w:rsid w:val="00EA0BD0"/>
    <w:rsid w:val="00EA2F26"/>
    <w:rsid w:val="00ED6686"/>
    <w:rsid w:val="00F13EC4"/>
    <w:rsid w:val="00F15CE2"/>
    <w:rsid w:val="00F758B5"/>
    <w:rsid w:val="00F80A77"/>
    <w:rsid w:val="00FA158F"/>
    <w:rsid w:val="00FC53BB"/>
    <w:rsid w:val="00FD0811"/>
    <w:rsid w:val="0ECA2393"/>
    <w:rsid w:val="18EF30C9"/>
    <w:rsid w:val="24B306A2"/>
    <w:rsid w:val="29BD5151"/>
    <w:rsid w:val="5ACE42AC"/>
    <w:rsid w:val="72A6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qFormat/>
    <w:uiPriority w:val="99"/>
    <w:pPr>
      <w:overflowPunct w:val="0"/>
      <w:spacing w:line="550" w:lineRule="exact"/>
      <w:jc w:val="center"/>
    </w:pPr>
    <w:rPr>
      <w:rFonts w:ascii="黑体" w:eastAsia="黑体" w:cs="黑体"/>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asciiTheme="minorHAnsi"/>
      <w:kern w:val="0"/>
      <w:sz w:val="24"/>
      <w:szCs w:val="24"/>
    </w:rPr>
  </w:style>
  <w:style w:type="character" w:customStyle="1" w:styleId="8">
    <w:name w:val="页眉 Char"/>
    <w:basedOn w:val="7"/>
    <w:link w:val="4"/>
    <w:qFormat/>
    <w:uiPriority w:val="0"/>
    <w:rPr>
      <w:rFonts w:ascii="Calibri"/>
      <w:kern w:val="2"/>
      <w:sz w:val="18"/>
      <w:szCs w:val="18"/>
    </w:rPr>
  </w:style>
  <w:style w:type="character" w:customStyle="1" w:styleId="9">
    <w:name w:val="页脚 Char"/>
    <w:basedOn w:val="7"/>
    <w:link w:val="3"/>
    <w:uiPriority w:val="0"/>
    <w:rPr>
      <w:rFonts w:ascii="Calibri"/>
      <w:kern w:val="2"/>
      <w:sz w:val="18"/>
      <w:szCs w:val="18"/>
    </w:rPr>
  </w:style>
  <w:style w:type="paragraph" w:styleId="10">
    <w:name w:val="No Spacing"/>
    <w:qFormat/>
    <w:uiPriority w:val="1"/>
    <w:pPr>
      <w:widowControl w:val="0"/>
      <w:jc w:val="both"/>
    </w:pPr>
    <w:rPr>
      <w:rFonts w:ascii="Book Antiqua" w:hAnsi="Book Antiqua" w:eastAsia="宋体" w:cs="Book Antiqua"/>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1831</Words>
  <Characters>1905</Characters>
  <Lines>14</Lines>
  <Paragraphs>4</Paragraphs>
  <TotalTime>311</TotalTime>
  <ScaleCrop>false</ScaleCrop>
  <LinksUpToDate>false</LinksUpToDate>
  <CharactersWithSpaces>1910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天空</cp:lastModifiedBy>
  <cp:lastPrinted>2024-01-08T03:57:00Z</cp:lastPrinted>
  <dcterms:modified xsi:type="dcterms:W3CDTF">2024-08-22T07:55:21Z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E4003664E9074E2D82C2335697BCB37F</vt:lpwstr>
  </property>
</Properties>
</file>